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22" w:rsidRPr="003444F8" w:rsidRDefault="00530820" w:rsidP="003444F8">
      <w:pPr>
        <w:ind w:left="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Wstęp</w:t>
      </w:r>
      <w:r w:rsidRPr="003444F8">
        <w:rPr>
          <w:rFonts w:ascii="Calibri" w:hAnsi="Calibri" w:cs="Calibri"/>
          <w:color w:val="231F20"/>
          <w:lang w:val="pl-PL"/>
        </w:rPr>
        <w:tab/>
        <w:t>7</w:t>
      </w:r>
    </w:p>
    <w:p w:rsidR="003444F8" w:rsidRPr="003444F8" w:rsidRDefault="003444F8" w:rsidP="003444F8">
      <w:pPr>
        <w:ind w:left="113"/>
        <w:rPr>
          <w:rFonts w:ascii="Calibri" w:eastAsia="Arial" w:hAnsi="Calibri" w:cs="Calibri"/>
          <w:color w:val="231F20"/>
          <w:lang w:val="pl-PL"/>
        </w:rPr>
      </w:pPr>
    </w:p>
    <w:p w:rsidR="000F3C22" w:rsidRPr="003444F8" w:rsidRDefault="00530820" w:rsidP="003444F8">
      <w:pPr>
        <w:ind w:left="993" w:hanging="993"/>
        <w:rPr>
          <w:rFonts w:ascii="Calibri" w:eastAsia="Arial" w:hAnsi="Calibri" w:cs="Calibri"/>
        </w:rPr>
      </w:pPr>
      <w:r w:rsidRPr="003444F8">
        <w:rPr>
          <w:rFonts w:ascii="Calibri" w:eastAsia="Arial" w:hAnsi="Calibri" w:cs="Calibri"/>
          <w:color w:val="231F20"/>
          <w:lang w:val="pl-PL"/>
        </w:rPr>
        <w:t>Rozdział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1.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Przystosowanie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do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przewlekłej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choroby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somatycznej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–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wybrane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zagadnienia.</w:t>
      </w:r>
      <w:r w:rsidR="003444F8" w:rsidRPr="003444F8">
        <w:rPr>
          <w:rFonts w:ascii="Calibri" w:eastAsia="Arial" w:hAnsi="Calibri" w:cs="Calibri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Czy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 xml:space="preserve">można </w:t>
      </w:r>
      <w:r w:rsidRPr="003444F8">
        <w:rPr>
          <w:rFonts w:ascii="Calibri" w:hAnsi="Calibri" w:cs="Calibri"/>
          <w:color w:val="231F20"/>
          <w:lang w:val="pl-PL"/>
        </w:rPr>
        <w:t>być pozytywnie przystosowanym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13</w:t>
      </w:r>
    </w:p>
    <w:p w:rsidR="000F3C22" w:rsidRPr="003444F8" w:rsidRDefault="003444F8" w:rsidP="003444F8">
      <w:pPr>
        <w:ind w:left="709" w:hanging="416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 xml:space="preserve">1.1. </w:t>
      </w:r>
      <w:r w:rsidR="00530820" w:rsidRPr="003444F8">
        <w:rPr>
          <w:rFonts w:ascii="Calibri" w:hAnsi="Calibri" w:cs="Calibri"/>
          <w:color w:val="231F20"/>
          <w:lang w:val="pl-PL"/>
        </w:rPr>
        <w:t>Wprowadzenie w problematykę zdrowia i przewlekłej choroby somatycznej</w:t>
      </w:r>
      <w:r w:rsidR="00530820" w:rsidRPr="003444F8">
        <w:rPr>
          <w:rFonts w:ascii="Calibri" w:hAnsi="Calibri" w:cs="Calibri"/>
          <w:color w:val="231F20"/>
          <w:lang w:val="pl-PL"/>
        </w:rPr>
        <w:tab/>
        <w:t>14</w:t>
      </w:r>
    </w:p>
    <w:p w:rsidR="000F3C22" w:rsidRPr="003444F8" w:rsidRDefault="003444F8" w:rsidP="003444F8">
      <w:pPr>
        <w:ind w:left="293"/>
        <w:rPr>
          <w:rFonts w:ascii="Calibri" w:eastAsia="Arial" w:hAnsi="Calibri" w:cs="Calibri"/>
          <w:lang w:val="pl-PL"/>
        </w:rPr>
      </w:pPr>
      <w:r w:rsidRPr="003444F8">
        <w:rPr>
          <w:rFonts w:ascii="Calibri" w:eastAsia="Arial" w:hAnsi="Calibri" w:cs="Calibri"/>
          <w:color w:val="231F20"/>
          <w:lang w:val="pl-PL"/>
        </w:rPr>
        <w:t xml:space="preserve">1.2. </w:t>
      </w:r>
      <w:r w:rsidR="00530820" w:rsidRPr="003444F8">
        <w:rPr>
          <w:rFonts w:ascii="Calibri" w:eastAsia="Arial" w:hAnsi="Calibri" w:cs="Calibri"/>
          <w:color w:val="231F20"/>
          <w:lang w:val="pl-PL"/>
        </w:rPr>
        <w:t>Sposoby rozumienia pojęcia „przystosowanie do choroby”</w:t>
      </w:r>
      <w:r w:rsidR="00530820" w:rsidRPr="003444F8">
        <w:rPr>
          <w:rFonts w:ascii="Calibri" w:eastAsia="Arial" w:hAnsi="Calibri" w:cs="Calibri"/>
          <w:color w:val="231F20"/>
          <w:lang w:val="pl-PL"/>
        </w:rPr>
        <w:tab/>
        <w:t>23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1.3. Modele przystosowania do choroby przewlekłej</w:t>
      </w:r>
      <w:r w:rsidRPr="003444F8">
        <w:rPr>
          <w:rFonts w:ascii="Calibri" w:hAnsi="Calibri" w:cs="Calibri"/>
          <w:color w:val="231F20"/>
          <w:lang w:val="pl-PL"/>
        </w:rPr>
        <w:tab/>
        <w:t>28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1.3.1. Model medyczny</w:t>
      </w:r>
      <w:r w:rsidRPr="003444F8">
        <w:rPr>
          <w:rFonts w:ascii="Calibri" w:hAnsi="Calibri" w:cs="Calibri"/>
          <w:color w:val="231F20"/>
          <w:lang w:val="pl-PL"/>
        </w:rPr>
        <w:tab/>
        <w:t>29</w:t>
      </w:r>
    </w:p>
    <w:p w:rsidR="000F3C22" w:rsidRPr="003444F8" w:rsidRDefault="00530820" w:rsidP="003444F8">
      <w:pPr>
        <w:ind w:left="1134" w:hanging="521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1.3.2.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Modele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uwzględniające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znaczenie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procesów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poznawczych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i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zasobów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osobistych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  <w:lang w:val="pl-PL"/>
        </w:rPr>
        <w:t>29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1.3.3. Modele holistyczne</w:t>
      </w:r>
      <w:r w:rsidRPr="003444F8">
        <w:rPr>
          <w:rFonts w:ascii="Calibri" w:hAnsi="Calibri" w:cs="Calibri"/>
          <w:color w:val="231F20"/>
          <w:lang w:val="pl-PL"/>
        </w:rPr>
        <w:tab/>
        <w:t>42</w:t>
      </w:r>
    </w:p>
    <w:p w:rsidR="003444F8" w:rsidRPr="003444F8" w:rsidRDefault="003444F8" w:rsidP="003444F8">
      <w:pPr>
        <w:ind w:left="3"/>
        <w:rPr>
          <w:rFonts w:ascii="Calibri" w:eastAsia="Arial" w:hAnsi="Calibri" w:cs="Calibri"/>
          <w:color w:val="231F20"/>
          <w:lang w:val="pl-PL"/>
        </w:rPr>
      </w:pPr>
    </w:p>
    <w:p w:rsidR="000F3C22" w:rsidRPr="003444F8" w:rsidRDefault="00530820" w:rsidP="003444F8">
      <w:pPr>
        <w:ind w:left="3"/>
        <w:rPr>
          <w:rFonts w:ascii="Calibri" w:eastAsia="Arial" w:hAnsi="Calibri" w:cs="Calibri"/>
        </w:rPr>
      </w:pPr>
      <w:r w:rsidRPr="003444F8">
        <w:rPr>
          <w:rFonts w:ascii="Calibri" w:eastAsia="Arial" w:hAnsi="Calibri" w:cs="Calibri"/>
          <w:color w:val="231F20"/>
          <w:lang w:val="pl-PL"/>
        </w:rPr>
        <w:t>Rozdział 2.</w:t>
      </w:r>
      <w:r w:rsidRPr="003444F8">
        <w:rPr>
          <w:rFonts w:ascii="Calibri" w:eastAsia="Arial" w:hAnsi="Calibri" w:cs="Calibri"/>
          <w:color w:val="231F20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Adaptacja do ch</w:t>
      </w:r>
      <w:r w:rsidRPr="003444F8">
        <w:rPr>
          <w:rFonts w:ascii="Calibri" w:eastAsia="Arial" w:hAnsi="Calibri" w:cs="Calibri"/>
          <w:color w:val="231F20"/>
          <w:lang w:val="pl-PL"/>
        </w:rPr>
        <w:t>oroby przewlekłej – istota i uwarunkowania</w:t>
      </w:r>
      <w:r w:rsidRPr="003444F8">
        <w:rPr>
          <w:rFonts w:ascii="Calibri" w:eastAsia="Arial" w:hAnsi="Calibri" w:cs="Calibri"/>
          <w:color w:val="231F20"/>
          <w:lang w:val="pl-PL"/>
        </w:rPr>
        <w:tab/>
      </w:r>
      <w:r w:rsidRPr="003444F8">
        <w:rPr>
          <w:rFonts w:ascii="Calibri" w:eastAsia="Arial" w:hAnsi="Calibri" w:cs="Calibri"/>
          <w:color w:val="231F20"/>
        </w:rPr>
        <w:t>49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</w:rPr>
      </w:pPr>
      <w:r w:rsidRPr="003444F8">
        <w:rPr>
          <w:rFonts w:ascii="Calibri" w:eastAsia="Arial" w:hAnsi="Calibri" w:cs="Calibri"/>
          <w:color w:val="231F20"/>
        </w:rPr>
        <w:t xml:space="preserve">2.1. </w:t>
      </w:r>
      <w:proofErr w:type="spellStart"/>
      <w:r w:rsidRPr="003444F8">
        <w:rPr>
          <w:rFonts w:ascii="Calibri" w:eastAsia="Arial" w:hAnsi="Calibri" w:cs="Calibri"/>
          <w:color w:val="231F20"/>
        </w:rPr>
        <w:t>Ocena</w:t>
      </w:r>
      <w:proofErr w:type="spellEnd"/>
      <w:r w:rsidRPr="003444F8">
        <w:rPr>
          <w:rFonts w:ascii="Calibri" w:eastAsia="Arial" w:hAnsi="Calibri" w:cs="Calibri"/>
          <w:color w:val="231F20"/>
        </w:rPr>
        <w:t xml:space="preserve"> </w:t>
      </w:r>
      <w:proofErr w:type="spellStart"/>
      <w:r w:rsidRPr="003444F8">
        <w:rPr>
          <w:rFonts w:ascii="Calibri" w:eastAsia="Arial" w:hAnsi="Calibri" w:cs="Calibri"/>
          <w:color w:val="231F20"/>
        </w:rPr>
        <w:t>poznawcza</w:t>
      </w:r>
      <w:proofErr w:type="spellEnd"/>
      <w:r w:rsidRPr="003444F8">
        <w:rPr>
          <w:rFonts w:ascii="Calibri" w:eastAsia="Arial" w:hAnsi="Calibri" w:cs="Calibri"/>
          <w:color w:val="231F20"/>
        </w:rPr>
        <w:t xml:space="preserve"> </w:t>
      </w:r>
      <w:proofErr w:type="spellStart"/>
      <w:r w:rsidRPr="003444F8">
        <w:rPr>
          <w:rFonts w:ascii="Calibri" w:eastAsia="Arial" w:hAnsi="Calibri" w:cs="Calibri"/>
          <w:color w:val="231F20"/>
        </w:rPr>
        <w:t>choroby</w:t>
      </w:r>
      <w:proofErr w:type="spellEnd"/>
      <w:r w:rsidRPr="003444F8">
        <w:rPr>
          <w:rFonts w:ascii="Calibri" w:eastAsia="Arial" w:hAnsi="Calibri" w:cs="Calibri"/>
          <w:color w:val="231F20"/>
        </w:rPr>
        <w:t xml:space="preserve"> – </w:t>
      </w:r>
      <w:proofErr w:type="spellStart"/>
      <w:r w:rsidRPr="003444F8">
        <w:rPr>
          <w:rFonts w:ascii="Calibri" w:eastAsia="Arial" w:hAnsi="Calibri" w:cs="Calibri"/>
          <w:color w:val="231F20"/>
        </w:rPr>
        <w:t>uwarunkowania</w:t>
      </w:r>
      <w:proofErr w:type="spellEnd"/>
      <w:r w:rsidRPr="003444F8">
        <w:rPr>
          <w:rFonts w:ascii="Calibri" w:eastAsia="Arial" w:hAnsi="Calibri" w:cs="Calibri"/>
          <w:color w:val="231F20"/>
        </w:rPr>
        <w:t xml:space="preserve"> </w:t>
      </w:r>
      <w:proofErr w:type="spellStart"/>
      <w:r w:rsidRPr="003444F8">
        <w:rPr>
          <w:rFonts w:ascii="Calibri" w:eastAsia="Arial" w:hAnsi="Calibri" w:cs="Calibri"/>
          <w:color w:val="231F20"/>
        </w:rPr>
        <w:t>i</w:t>
      </w:r>
      <w:proofErr w:type="spellEnd"/>
      <w:r w:rsidRPr="003444F8">
        <w:rPr>
          <w:rFonts w:ascii="Calibri" w:eastAsia="Arial" w:hAnsi="Calibri" w:cs="Calibri"/>
          <w:color w:val="231F20"/>
        </w:rPr>
        <w:t xml:space="preserve"> </w:t>
      </w:r>
      <w:proofErr w:type="spellStart"/>
      <w:r w:rsidRPr="003444F8">
        <w:rPr>
          <w:rFonts w:ascii="Calibri" w:eastAsia="Arial" w:hAnsi="Calibri" w:cs="Calibri"/>
          <w:color w:val="231F20"/>
        </w:rPr>
        <w:t>znaczenie</w:t>
      </w:r>
      <w:proofErr w:type="spellEnd"/>
      <w:r>
        <w:rPr>
          <w:rFonts w:ascii="Calibri" w:eastAsia="Arial" w:hAnsi="Calibri" w:cs="Calibri"/>
          <w:color w:val="231F20"/>
        </w:rPr>
        <w:t xml:space="preserve"> </w:t>
      </w:r>
      <w:r w:rsidRPr="003444F8">
        <w:rPr>
          <w:rFonts w:ascii="Calibri" w:eastAsia="Arial" w:hAnsi="Calibri" w:cs="Calibri"/>
          <w:color w:val="231F20"/>
        </w:rPr>
        <w:tab/>
        <w:t>50</w:t>
      </w:r>
    </w:p>
    <w:p w:rsidR="000F3C22" w:rsidRPr="003444F8" w:rsidRDefault="003444F8" w:rsidP="003444F8">
      <w:pPr>
        <w:ind w:left="293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2.2. </w:t>
      </w:r>
      <w:r w:rsidR="00530820" w:rsidRPr="003444F8">
        <w:rPr>
          <w:rFonts w:ascii="Calibri" w:hAnsi="Calibri" w:cs="Calibri"/>
          <w:color w:val="231F20"/>
          <w:lang w:val="pl-PL"/>
        </w:rPr>
        <w:t>Wybrane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aspekty zmagania się z przewlekłą chorobą somatyczną</w:t>
      </w:r>
      <w:r w:rsidR="00530820" w:rsidRPr="003444F8">
        <w:rPr>
          <w:rFonts w:ascii="Calibri" w:hAnsi="Calibri" w:cs="Calibri"/>
          <w:color w:val="231F20"/>
          <w:lang w:val="pl-PL"/>
        </w:rPr>
        <w:tab/>
        <w:t>60</w:t>
      </w:r>
    </w:p>
    <w:p w:rsidR="000F3C22" w:rsidRPr="003444F8" w:rsidRDefault="003444F8" w:rsidP="003444F8">
      <w:pPr>
        <w:ind w:left="293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2.3. </w:t>
      </w:r>
      <w:r w:rsidR="00530820" w:rsidRPr="003444F8">
        <w:rPr>
          <w:rFonts w:ascii="Calibri" w:hAnsi="Calibri" w:cs="Calibri"/>
          <w:color w:val="231F20"/>
          <w:lang w:val="pl-PL"/>
        </w:rPr>
        <w:t>Psychologiczne i medyczne aspekty wybranych chorób somatycznych</w:t>
      </w:r>
      <w:r w:rsidR="00530820" w:rsidRPr="003444F8">
        <w:rPr>
          <w:rFonts w:ascii="Calibri" w:hAnsi="Calibri" w:cs="Calibri"/>
          <w:color w:val="231F20"/>
          <w:lang w:val="pl-PL"/>
        </w:rPr>
        <w:tab/>
        <w:t>70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2.3.1. Cukrzyca</w:t>
      </w:r>
      <w:r w:rsidRPr="003444F8">
        <w:rPr>
          <w:rFonts w:ascii="Calibri" w:hAnsi="Calibri" w:cs="Calibri"/>
          <w:color w:val="231F20"/>
          <w:lang w:val="pl-PL"/>
        </w:rPr>
        <w:tab/>
        <w:t>71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  <w:lang w:val="pl-PL"/>
        </w:rPr>
        <w:t>2.3.2. Reu</w:t>
      </w:r>
      <w:r w:rsidRPr="003444F8">
        <w:rPr>
          <w:rFonts w:ascii="Calibri" w:hAnsi="Calibri" w:cs="Calibri"/>
          <w:color w:val="231F20"/>
          <w:lang w:val="pl-PL"/>
        </w:rPr>
        <w:t>matoidalne zapalenie stawów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74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</w:rPr>
        <w:t xml:space="preserve">2.3.3. </w:t>
      </w:r>
      <w:proofErr w:type="spellStart"/>
      <w:r w:rsidRPr="003444F8">
        <w:rPr>
          <w:rFonts w:ascii="Calibri" w:hAnsi="Calibri" w:cs="Calibri"/>
          <w:color w:val="231F20"/>
        </w:rPr>
        <w:t>Łuszczyca</w:t>
      </w:r>
      <w:proofErr w:type="spellEnd"/>
      <w:r w:rsidRPr="003444F8">
        <w:rPr>
          <w:rFonts w:ascii="Calibri" w:hAnsi="Calibri" w:cs="Calibri"/>
          <w:color w:val="231F20"/>
        </w:rPr>
        <w:tab/>
        <w:t>77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</w:rPr>
        <w:t xml:space="preserve">2.3.4. </w:t>
      </w:r>
      <w:proofErr w:type="spellStart"/>
      <w:r w:rsidRPr="003444F8">
        <w:rPr>
          <w:rFonts w:ascii="Calibri" w:hAnsi="Calibri" w:cs="Calibri"/>
          <w:color w:val="231F20"/>
        </w:rPr>
        <w:t>Przewlekła</w:t>
      </w:r>
      <w:proofErr w:type="spellEnd"/>
      <w:r w:rsidRPr="003444F8">
        <w:rPr>
          <w:rFonts w:ascii="Calibri" w:hAnsi="Calibri" w:cs="Calibri"/>
          <w:color w:val="231F20"/>
        </w:rPr>
        <w:t xml:space="preserve"> </w:t>
      </w:r>
      <w:proofErr w:type="spellStart"/>
      <w:r w:rsidRPr="003444F8">
        <w:rPr>
          <w:rFonts w:ascii="Calibri" w:hAnsi="Calibri" w:cs="Calibri"/>
          <w:color w:val="231F20"/>
        </w:rPr>
        <w:t>choroba</w:t>
      </w:r>
      <w:proofErr w:type="spellEnd"/>
      <w:r w:rsidRPr="003444F8">
        <w:rPr>
          <w:rFonts w:ascii="Calibri" w:hAnsi="Calibri" w:cs="Calibri"/>
          <w:color w:val="231F20"/>
        </w:rPr>
        <w:t xml:space="preserve"> </w:t>
      </w:r>
      <w:proofErr w:type="spellStart"/>
      <w:r w:rsidRPr="003444F8">
        <w:rPr>
          <w:rFonts w:ascii="Calibri" w:hAnsi="Calibri" w:cs="Calibri"/>
          <w:color w:val="231F20"/>
        </w:rPr>
        <w:t>nere</w:t>
      </w:r>
      <w:r w:rsidRPr="003444F8">
        <w:rPr>
          <w:rFonts w:ascii="Calibri" w:hAnsi="Calibri" w:cs="Calibri"/>
          <w:color w:val="231F20"/>
        </w:rPr>
        <w:t>k</w:t>
      </w:r>
      <w:proofErr w:type="spellEnd"/>
      <w:r w:rsidRPr="003444F8">
        <w:rPr>
          <w:rFonts w:ascii="Calibri" w:hAnsi="Calibri" w:cs="Calibri"/>
          <w:color w:val="231F20"/>
        </w:rPr>
        <w:tab/>
        <w:t>80</w:t>
      </w:r>
    </w:p>
    <w:p w:rsidR="003444F8" w:rsidRPr="003444F8" w:rsidRDefault="003444F8" w:rsidP="003444F8">
      <w:pPr>
        <w:ind w:left="113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left="993" w:hanging="990"/>
        <w:rPr>
          <w:rFonts w:ascii="Calibri" w:eastAsia="Arial" w:hAnsi="Calibri" w:cs="Calibri"/>
          <w:lang w:val="pl-PL"/>
        </w:rPr>
      </w:pPr>
      <w:r w:rsidRPr="003444F8">
        <w:rPr>
          <w:rFonts w:ascii="Calibri" w:eastAsia="Arial" w:hAnsi="Calibri" w:cs="Calibri"/>
          <w:color w:val="231F20"/>
          <w:lang w:val="pl-PL"/>
        </w:rPr>
        <w:t>Rozdział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3.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Podejście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poznawczo-behawioralne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w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procesie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adaptacji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i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przystosowania</w:t>
      </w:r>
      <w:r w:rsidR="003444F8" w:rsidRPr="003444F8">
        <w:rPr>
          <w:rFonts w:ascii="Calibri" w:eastAsia="Arial" w:hAnsi="Calibri" w:cs="Calibri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do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 xml:space="preserve">przewlekłej </w:t>
      </w:r>
      <w:r w:rsidRPr="003444F8">
        <w:rPr>
          <w:rFonts w:ascii="Calibri" w:hAnsi="Calibri" w:cs="Calibri"/>
          <w:color w:val="231F20"/>
          <w:lang w:val="pl-PL"/>
        </w:rPr>
        <w:t>choroby somatycznej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  <w:lang w:val="pl-PL"/>
        </w:rPr>
        <w:t>83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</w:rPr>
      </w:pPr>
      <w:r w:rsidRPr="003444F8">
        <w:rPr>
          <w:rFonts w:ascii="Calibri" w:eastAsia="Arial" w:hAnsi="Calibri" w:cs="Calibri"/>
          <w:color w:val="231F20"/>
          <w:lang w:val="pl-PL"/>
        </w:rPr>
        <w:t>3.1. Podejście poznawczo-behawioralna – charakterystyka</w:t>
      </w:r>
      <w:r w:rsidRPr="003444F8">
        <w:rPr>
          <w:rFonts w:ascii="Calibri" w:eastAsia="Arial" w:hAnsi="Calibri" w:cs="Calibri"/>
          <w:color w:val="231F20"/>
          <w:lang w:val="pl-PL"/>
        </w:rPr>
        <w:tab/>
      </w:r>
      <w:r w:rsidRPr="003444F8">
        <w:rPr>
          <w:rFonts w:ascii="Calibri" w:eastAsia="Arial" w:hAnsi="Calibri" w:cs="Calibri"/>
          <w:color w:val="231F20"/>
        </w:rPr>
        <w:t>83</w:t>
      </w:r>
    </w:p>
    <w:p w:rsidR="000F3C22" w:rsidRPr="003444F8" w:rsidRDefault="003444F8" w:rsidP="003444F8">
      <w:pPr>
        <w:ind w:left="709" w:hanging="400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3.2. </w:t>
      </w:r>
      <w:r w:rsidR="00530820" w:rsidRPr="003444F8">
        <w:rPr>
          <w:rFonts w:ascii="Calibri" w:hAnsi="Calibri" w:cs="Calibri"/>
          <w:color w:val="231F20"/>
          <w:lang w:val="pl-PL"/>
        </w:rPr>
        <w:t>Zastosowanie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interwencji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poznawczo-behawioralnych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u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osób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chorych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somatycznie</w:t>
      </w:r>
      <w:r w:rsidR="00530820" w:rsidRPr="003444F8">
        <w:rPr>
          <w:rFonts w:ascii="Calibri" w:hAnsi="Calibri" w:cs="Calibri"/>
          <w:color w:val="231F20"/>
          <w:lang w:val="pl-PL"/>
        </w:rPr>
        <w:tab/>
      </w:r>
      <w:r w:rsidR="00530820" w:rsidRPr="003444F8">
        <w:rPr>
          <w:rFonts w:ascii="Calibri" w:hAnsi="Calibri" w:cs="Calibri"/>
          <w:color w:val="231F20"/>
          <w:lang w:val="pl-PL"/>
        </w:rPr>
        <w:t>85</w:t>
      </w:r>
    </w:p>
    <w:p w:rsidR="000F3C22" w:rsidRPr="003444F8" w:rsidRDefault="003444F8" w:rsidP="003444F8">
      <w:pPr>
        <w:ind w:left="709" w:right="108" w:hanging="400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3.3. </w:t>
      </w:r>
      <w:r w:rsidR="00530820" w:rsidRPr="003444F8">
        <w:rPr>
          <w:rFonts w:ascii="Calibri" w:hAnsi="Calibri" w:cs="Calibri"/>
          <w:color w:val="231F20"/>
          <w:lang w:val="pl-PL"/>
        </w:rPr>
        <w:t>Badania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nad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skutecznością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terapii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poznawczo-behawioralnej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w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wybranych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chorobach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somatycznych</w:t>
      </w:r>
      <w:r w:rsidR="00530820" w:rsidRPr="003444F8">
        <w:rPr>
          <w:rFonts w:ascii="Calibri" w:hAnsi="Calibri" w:cs="Calibri"/>
          <w:color w:val="231F20"/>
          <w:lang w:val="pl-PL"/>
        </w:rPr>
        <w:tab/>
        <w:t>92</w:t>
      </w:r>
    </w:p>
    <w:p w:rsidR="003444F8" w:rsidRPr="003444F8" w:rsidRDefault="003444F8" w:rsidP="003444F8">
      <w:pPr>
        <w:ind w:left="3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left="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Rozdział 4. Koncepcja badań własnych</w:t>
      </w:r>
      <w:r w:rsidRPr="003444F8">
        <w:rPr>
          <w:rFonts w:ascii="Calibri" w:hAnsi="Calibri" w:cs="Calibri"/>
          <w:color w:val="231F20"/>
          <w:lang w:val="pl-PL"/>
        </w:rPr>
        <w:tab/>
        <w:t>97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4.1. Cele i zadania badawcze</w:t>
      </w:r>
      <w:r w:rsidRPr="003444F8">
        <w:rPr>
          <w:rFonts w:ascii="Calibri" w:hAnsi="Calibri" w:cs="Calibri"/>
          <w:color w:val="231F20"/>
          <w:lang w:val="pl-PL"/>
        </w:rPr>
        <w:tab/>
        <w:t>97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4.2. Zało</w:t>
      </w:r>
      <w:r w:rsidRPr="003444F8">
        <w:rPr>
          <w:rFonts w:ascii="Calibri" w:hAnsi="Calibri" w:cs="Calibri"/>
          <w:color w:val="231F20"/>
          <w:lang w:val="pl-PL"/>
        </w:rPr>
        <w:t>żenia, modele i hipotezy badawcze</w:t>
      </w:r>
      <w:r w:rsidRPr="003444F8">
        <w:rPr>
          <w:rFonts w:ascii="Calibri" w:hAnsi="Calibri" w:cs="Calibri"/>
          <w:color w:val="231F20"/>
          <w:lang w:val="pl-PL"/>
        </w:rPr>
        <w:tab/>
        <w:t>99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4.3. Grupa badana i procedura badań</w:t>
      </w:r>
      <w:r w:rsidRPr="003444F8">
        <w:rPr>
          <w:rFonts w:ascii="Calibri" w:hAnsi="Calibri" w:cs="Calibri"/>
          <w:color w:val="231F20"/>
          <w:lang w:val="pl-PL"/>
        </w:rPr>
        <w:tab/>
        <w:t>105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4.4. Zastosowane narzędzia</w:t>
      </w:r>
      <w:r w:rsidRPr="003444F8">
        <w:rPr>
          <w:rFonts w:ascii="Calibri" w:hAnsi="Calibri" w:cs="Calibri"/>
          <w:color w:val="231F20"/>
          <w:lang w:val="pl-PL"/>
        </w:rPr>
        <w:tab/>
        <w:t>107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4.4.1. Przystosowanie do choroby</w:t>
      </w:r>
      <w:r w:rsidRPr="003444F8">
        <w:rPr>
          <w:rFonts w:ascii="Calibri" w:hAnsi="Calibri" w:cs="Calibri"/>
          <w:color w:val="231F20"/>
          <w:lang w:val="pl-PL"/>
        </w:rPr>
        <w:tab/>
        <w:t>108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4.4.2. Zasoby pozytywne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  <w:lang w:val="pl-PL"/>
        </w:rPr>
        <w:t>111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4.4.3. Poznawcza reprezentacja choroby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  <w:lang w:val="pl-PL"/>
        </w:rPr>
        <w:t>113</w:t>
      </w:r>
    </w:p>
    <w:p w:rsidR="000F3C22" w:rsidRPr="003444F8" w:rsidRDefault="00530820" w:rsidP="003444F8">
      <w:pPr>
        <w:ind w:left="613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4.4.4. Nasilenie zmian chorobowych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  <w:lang w:val="pl-PL"/>
        </w:rPr>
        <w:t>116</w:t>
      </w:r>
    </w:p>
    <w:p w:rsidR="000F3C22" w:rsidRPr="003444F8" w:rsidRDefault="00530820" w:rsidP="003444F8">
      <w:pPr>
        <w:ind w:left="293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  <w:lang w:val="pl-PL"/>
        </w:rPr>
        <w:t>4.5. Sposób opracowania wyników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116</w:t>
      </w:r>
    </w:p>
    <w:p w:rsidR="003444F8" w:rsidRPr="003444F8" w:rsidRDefault="003444F8" w:rsidP="003444F8">
      <w:pPr>
        <w:ind w:left="3"/>
        <w:rPr>
          <w:rFonts w:ascii="Calibri" w:hAnsi="Calibri" w:cs="Calibri"/>
          <w:color w:val="231F20"/>
        </w:rPr>
      </w:pPr>
    </w:p>
    <w:p w:rsidR="000F3C22" w:rsidRPr="003444F8" w:rsidRDefault="00530820" w:rsidP="00530820">
      <w:pPr>
        <w:ind w:left="993" w:hanging="990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Rozdział 5. Przystosowanie do przewlekłej choroby somatycznej w badan</w:t>
      </w:r>
      <w:r w:rsidRPr="003444F8">
        <w:rPr>
          <w:rFonts w:ascii="Calibri" w:hAnsi="Calibri" w:cs="Calibri"/>
          <w:color w:val="231F20"/>
          <w:lang w:val="pl-PL"/>
        </w:rPr>
        <w:t>ych grupach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  <w:lang w:val="pl-PL"/>
        </w:rPr>
        <w:t>119</w:t>
      </w:r>
    </w:p>
    <w:p w:rsidR="000F3C22" w:rsidRPr="003444F8" w:rsidRDefault="003444F8" w:rsidP="003444F8">
      <w:pPr>
        <w:ind w:left="709" w:hanging="416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5.1. </w:t>
      </w:r>
      <w:r w:rsidR="00530820" w:rsidRPr="003444F8">
        <w:rPr>
          <w:rFonts w:ascii="Calibri" w:hAnsi="Calibri" w:cs="Calibri"/>
          <w:color w:val="231F20"/>
          <w:lang w:val="pl-PL"/>
        </w:rPr>
        <w:t>Zależności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między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poszczególnymi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konstruktami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tworzącymi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lastRenderedPageBreak/>
        <w:t>przystosowanie</w:t>
      </w:r>
      <w:r w:rsidRPr="003444F8">
        <w:rPr>
          <w:rFonts w:ascii="Calibri" w:eastAsia="Arial" w:hAnsi="Calibri" w:cs="Calibri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do choroby</w:t>
      </w:r>
      <w:r w:rsidR="00530820" w:rsidRPr="003444F8">
        <w:rPr>
          <w:rFonts w:ascii="Calibri" w:hAnsi="Calibri" w:cs="Calibri"/>
          <w:color w:val="231F20"/>
          <w:lang w:val="pl-PL"/>
        </w:rPr>
        <w:tab/>
      </w:r>
      <w:r w:rsidR="00530820" w:rsidRPr="003444F8">
        <w:rPr>
          <w:rFonts w:ascii="Calibri" w:hAnsi="Calibri" w:cs="Calibri"/>
          <w:color w:val="231F20"/>
          <w:lang w:val="pl-PL"/>
        </w:rPr>
        <w:t>119</w:t>
      </w:r>
    </w:p>
    <w:p w:rsidR="000F3C22" w:rsidRPr="003444F8" w:rsidRDefault="003444F8" w:rsidP="003444F8">
      <w:pPr>
        <w:ind w:left="709" w:hanging="416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5.2. </w:t>
      </w:r>
      <w:r w:rsidR="00530820" w:rsidRPr="003444F8">
        <w:rPr>
          <w:rFonts w:ascii="Calibri" w:hAnsi="Calibri" w:cs="Calibri"/>
          <w:color w:val="231F20"/>
          <w:lang w:val="pl-PL"/>
        </w:rPr>
        <w:t>Przystosowanie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do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choroby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osób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z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cukrzycą,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łuszczycą,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przewlekłą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chorobą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nerek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(</w:t>
      </w:r>
      <w:proofErr w:type="spellStart"/>
      <w:r w:rsidR="00530820" w:rsidRPr="003444F8">
        <w:rPr>
          <w:rFonts w:ascii="Calibri" w:hAnsi="Calibri" w:cs="Calibri"/>
          <w:color w:val="231F20"/>
          <w:lang w:val="pl-PL"/>
        </w:rPr>
        <w:t>PChN</w:t>
      </w:r>
      <w:proofErr w:type="spellEnd"/>
      <w:r w:rsidR="00530820" w:rsidRPr="003444F8">
        <w:rPr>
          <w:rFonts w:ascii="Calibri" w:hAnsi="Calibri" w:cs="Calibri"/>
          <w:color w:val="231F20"/>
          <w:lang w:val="pl-PL"/>
        </w:rPr>
        <w:t>)</w:t>
      </w:r>
      <w:r w:rsidRPr="003444F8">
        <w:rPr>
          <w:rFonts w:ascii="Calibri" w:eastAsia="Arial" w:hAnsi="Calibri" w:cs="Calibri"/>
          <w:lang w:val="pl-PL"/>
        </w:rPr>
        <w:t xml:space="preserve"> </w:t>
      </w:r>
      <w:r w:rsidR="00530820" w:rsidRPr="003444F8">
        <w:rPr>
          <w:rFonts w:ascii="Calibri" w:eastAsia="Arial" w:hAnsi="Calibri" w:cs="Calibri"/>
          <w:color w:val="231F20"/>
          <w:lang w:val="pl-PL"/>
        </w:rPr>
        <w:t>i reumatoidalnym zapaleniem stawów (RZS) – analiza różnic międzygrupowych</w:t>
      </w:r>
      <w:r w:rsidR="00530820" w:rsidRPr="003444F8">
        <w:rPr>
          <w:rFonts w:ascii="Calibri" w:eastAsia="Arial" w:hAnsi="Calibri" w:cs="Calibri"/>
          <w:color w:val="231F20"/>
          <w:lang w:val="pl-PL"/>
        </w:rPr>
        <w:tab/>
        <w:t>123</w:t>
      </w:r>
    </w:p>
    <w:p w:rsidR="003444F8" w:rsidRPr="003444F8" w:rsidRDefault="003444F8" w:rsidP="003444F8">
      <w:pPr>
        <w:ind w:left="287" w:right="135" w:hanging="180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left="287" w:right="135" w:hanging="180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  <w:lang w:val="pl-PL"/>
        </w:rPr>
        <w:t>Rozdział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6.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 xml:space="preserve">Typy </w:t>
      </w:r>
      <w:r w:rsidRPr="003444F8">
        <w:rPr>
          <w:rFonts w:ascii="Calibri" w:hAnsi="Calibri" w:cs="Calibri"/>
          <w:color w:val="231F20"/>
          <w:lang w:val="pl-PL"/>
        </w:rPr>
        <w:t>przystosowania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do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przewlekłej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choroby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somatycznej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i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udział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osób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z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różnym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rozpoznaniem klinicznym w wyodrębnionych typach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125</w:t>
      </w:r>
    </w:p>
    <w:p w:rsidR="000F3C22" w:rsidRPr="003444F8" w:rsidRDefault="003444F8" w:rsidP="003444F8">
      <w:pPr>
        <w:ind w:left="709" w:hanging="423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6.1. </w:t>
      </w:r>
      <w:r w:rsidR="00530820" w:rsidRPr="003444F8">
        <w:rPr>
          <w:rFonts w:ascii="Calibri" w:hAnsi="Calibri" w:cs="Calibri"/>
          <w:color w:val="231F20"/>
          <w:lang w:val="pl-PL"/>
        </w:rPr>
        <w:t>Wyodrębnienie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grup (typów) o różnym przystosowaniu do choroby somatycznej</w:t>
      </w:r>
      <w:r w:rsidR="00530820" w:rsidRPr="003444F8">
        <w:rPr>
          <w:rFonts w:ascii="Calibri" w:hAnsi="Calibri" w:cs="Calibri"/>
          <w:color w:val="231F20"/>
          <w:lang w:val="pl-PL"/>
        </w:rPr>
        <w:tab/>
        <w:t>125</w:t>
      </w:r>
    </w:p>
    <w:p w:rsidR="000F3C22" w:rsidRPr="003444F8" w:rsidRDefault="003444F8" w:rsidP="003444F8">
      <w:pPr>
        <w:ind w:left="287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6.2. </w:t>
      </w:r>
      <w:r w:rsidR="00530820" w:rsidRPr="003444F8">
        <w:rPr>
          <w:rFonts w:ascii="Calibri" w:hAnsi="Calibri" w:cs="Calibri"/>
          <w:color w:val="231F20"/>
          <w:lang w:val="pl-PL"/>
        </w:rPr>
        <w:t>Typy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przystosowania do choroby a rodzaj schorzenia</w:t>
      </w:r>
      <w:r w:rsidR="00530820" w:rsidRPr="003444F8">
        <w:rPr>
          <w:rFonts w:ascii="Calibri" w:hAnsi="Calibri" w:cs="Calibri"/>
          <w:color w:val="231F20"/>
          <w:lang w:val="pl-PL"/>
        </w:rPr>
        <w:tab/>
        <w:t>130</w:t>
      </w:r>
    </w:p>
    <w:p w:rsidR="003444F8" w:rsidRPr="003444F8" w:rsidRDefault="003444F8" w:rsidP="003444F8">
      <w:pPr>
        <w:ind w:left="287" w:right="135" w:hanging="180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left="426" w:right="135" w:hanging="319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Rozdział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7.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Poznawcza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reprezentacja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choroby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i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zasoby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pozytywne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w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grupach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osób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z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różnym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rozpoznaniem</w:t>
      </w:r>
      <w:r w:rsidRPr="003444F8">
        <w:rPr>
          <w:rFonts w:ascii="Calibri" w:hAnsi="Calibri" w:cs="Calibri"/>
          <w:color w:val="231F20"/>
          <w:lang w:val="pl-PL"/>
        </w:rPr>
        <w:tab/>
        <w:t>133</w:t>
      </w:r>
    </w:p>
    <w:p w:rsidR="000F3C22" w:rsidRPr="003444F8" w:rsidRDefault="00530820" w:rsidP="003444F8">
      <w:pPr>
        <w:ind w:left="28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7.1. Sposób postrzegania choroby</w:t>
      </w:r>
      <w:r w:rsidRPr="003444F8">
        <w:rPr>
          <w:rFonts w:ascii="Calibri" w:hAnsi="Calibri" w:cs="Calibri"/>
          <w:color w:val="231F20"/>
          <w:lang w:val="pl-PL"/>
        </w:rPr>
        <w:tab/>
        <w:t>133</w:t>
      </w:r>
    </w:p>
    <w:p w:rsidR="000F3C22" w:rsidRPr="003444F8" w:rsidRDefault="00530820" w:rsidP="003444F8">
      <w:pPr>
        <w:ind w:left="28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7.2. Poziom</w:t>
      </w:r>
      <w:r w:rsidRPr="003444F8">
        <w:rPr>
          <w:rFonts w:ascii="Calibri" w:hAnsi="Calibri" w:cs="Calibri"/>
          <w:color w:val="231F20"/>
          <w:lang w:val="pl-PL"/>
        </w:rPr>
        <w:t xml:space="preserve"> zasobów pozytywnych</w:t>
      </w:r>
      <w:r w:rsidRPr="003444F8">
        <w:rPr>
          <w:rFonts w:ascii="Calibri" w:hAnsi="Calibri" w:cs="Calibri"/>
          <w:color w:val="231F20"/>
          <w:lang w:val="pl-PL"/>
        </w:rPr>
        <w:tab/>
        <w:t>142</w:t>
      </w:r>
    </w:p>
    <w:p w:rsidR="003444F8" w:rsidRPr="003444F8" w:rsidRDefault="003444F8" w:rsidP="003444F8">
      <w:pPr>
        <w:ind w:right="27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Rozdział 8. Całościowa analiza modelu badań</w:t>
      </w:r>
      <w:r w:rsidRPr="003444F8">
        <w:rPr>
          <w:rFonts w:ascii="Calibri" w:hAnsi="Calibri" w:cs="Calibri"/>
          <w:color w:val="231F20"/>
          <w:lang w:val="pl-PL"/>
        </w:rPr>
        <w:tab/>
        <w:t>151</w:t>
      </w:r>
    </w:p>
    <w:p w:rsidR="000F3C22" w:rsidRPr="003444F8" w:rsidRDefault="00530820" w:rsidP="003444F8">
      <w:pPr>
        <w:ind w:left="709" w:hanging="422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8.1.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Wielowymiarowość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zmienn</w:t>
      </w:r>
      <w:r w:rsidRPr="003444F8">
        <w:rPr>
          <w:rFonts w:ascii="Calibri" w:hAnsi="Calibri" w:cs="Calibri"/>
          <w:color w:val="231F20"/>
          <w:lang w:val="pl-PL"/>
        </w:rPr>
        <w:t>ych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w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przyjętym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modelu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teoretycznym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dla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wszystkich</w:t>
      </w:r>
      <w:r w:rsidR="003444F8" w:rsidRPr="003444F8">
        <w:rPr>
          <w:rFonts w:ascii="Calibri" w:eastAsia="Arial" w:hAnsi="Calibri" w:cs="Calibri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osób badanych</w:t>
      </w:r>
      <w:r w:rsidRPr="003444F8">
        <w:rPr>
          <w:rFonts w:ascii="Calibri" w:hAnsi="Calibri" w:cs="Calibri"/>
          <w:color w:val="231F20"/>
          <w:lang w:val="pl-PL"/>
        </w:rPr>
        <w:tab/>
        <w:t>151</w:t>
      </w:r>
    </w:p>
    <w:p w:rsidR="000F3C22" w:rsidRPr="003444F8" w:rsidRDefault="00530820" w:rsidP="003444F8">
      <w:pPr>
        <w:ind w:left="28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8.2. Modele przystosowania w badanych grupach chorych</w:t>
      </w:r>
      <w:r w:rsidRPr="003444F8">
        <w:rPr>
          <w:rFonts w:ascii="Calibri" w:hAnsi="Calibri" w:cs="Calibri"/>
          <w:color w:val="231F20"/>
          <w:lang w:val="pl-PL"/>
        </w:rPr>
        <w:tab/>
        <w:t>161</w:t>
      </w:r>
    </w:p>
    <w:p w:rsidR="003444F8" w:rsidRPr="003444F8" w:rsidRDefault="003444F8" w:rsidP="003444F8">
      <w:pPr>
        <w:ind w:right="27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Rozdział 9. Korelaty przystosowania do choroby</w:t>
      </w:r>
      <w:r w:rsidRPr="003444F8">
        <w:rPr>
          <w:rFonts w:ascii="Calibri" w:hAnsi="Calibri" w:cs="Calibri"/>
          <w:color w:val="231F20"/>
          <w:lang w:val="pl-PL"/>
        </w:rPr>
        <w:tab/>
        <w:t>171</w:t>
      </w:r>
    </w:p>
    <w:p w:rsidR="000F3C22" w:rsidRPr="003444F8" w:rsidRDefault="00530820" w:rsidP="003444F8">
      <w:pPr>
        <w:ind w:left="28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9.1. Korelaty przystosowania u osób chorych na cukrzycę</w:t>
      </w:r>
      <w:r w:rsidRPr="003444F8">
        <w:rPr>
          <w:rFonts w:ascii="Calibri" w:hAnsi="Calibri" w:cs="Calibri"/>
          <w:color w:val="231F20"/>
          <w:lang w:val="pl-PL"/>
        </w:rPr>
        <w:tab/>
        <w:t>171</w:t>
      </w:r>
    </w:p>
    <w:p w:rsidR="000F3C22" w:rsidRPr="003444F8" w:rsidRDefault="00530820" w:rsidP="003444F8">
      <w:pPr>
        <w:ind w:left="287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  <w:lang w:val="pl-PL"/>
        </w:rPr>
        <w:t>9.2. Korelaty przystosowania u osób chorych na łuszczycę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174</w:t>
      </w:r>
    </w:p>
    <w:p w:rsidR="000F3C22" w:rsidRPr="003444F8" w:rsidRDefault="003444F8" w:rsidP="003444F8">
      <w:pPr>
        <w:ind w:left="286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9.3. </w:t>
      </w:r>
      <w:r w:rsidR="00530820" w:rsidRPr="003444F8">
        <w:rPr>
          <w:rFonts w:ascii="Calibri" w:hAnsi="Calibri" w:cs="Calibri"/>
          <w:color w:val="231F20"/>
          <w:lang w:val="pl-PL"/>
        </w:rPr>
        <w:t>Korelaty przystosowania u osób chorych na przewlekłą chorobę nerek</w:t>
      </w:r>
      <w:r w:rsidR="00530820" w:rsidRPr="003444F8">
        <w:rPr>
          <w:rFonts w:ascii="Calibri" w:hAnsi="Calibri" w:cs="Calibri"/>
          <w:color w:val="231F20"/>
          <w:lang w:val="pl-PL"/>
        </w:rPr>
        <w:tab/>
        <w:t>177</w:t>
      </w:r>
    </w:p>
    <w:p w:rsidR="000F3C22" w:rsidRPr="003444F8" w:rsidRDefault="003444F8" w:rsidP="003444F8">
      <w:pPr>
        <w:ind w:left="709" w:hanging="423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9.4. </w:t>
      </w:r>
      <w:r w:rsidR="00530820" w:rsidRPr="003444F8">
        <w:rPr>
          <w:rFonts w:ascii="Calibri" w:hAnsi="Calibri" w:cs="Calibri"/>
          <w:color w:val="231F20"/>
          <w:lang w:val="pl-PL"/>
        </w:rPr>
        <w:t>Korelaty przystosowania u osób c</w:t>
      </w:r>
      <w:r w:rsidR="00530820" w:rsidRPr="003444F8">
        <w:rPr>
          <w:rFonts w:ascii="Calibri" w:hAnsi="Calibri" w:cs="Calibri"/>
          <w:color w:val="231F20"/>
          <w:lang w:val="pl-PL"/>
        </w:rPr>
        <w:t>horych na reumatoidalne zapalenie stawów</w:t>
      </w:r>
      <w:r w:rsidR="00530820" w:rsidRPr="003444F8">
        <w:rPr>
          <w:rFonts w:ascii="Calibri" w:hAnsi="Calibri" w:cs="Calibri"/>
          <w:color w:val="231F20"/>
          <w:lang w:val="pl-PL"/>
        </w:rPr>
        <w:tab/>
        <w:t>180</w:t>
      </w:r>
    </w:p>
    <w:p w:rsidR="003444F8" w:rsidRPr="003444F8" w:rsidRDefault="003444F8" w:rsidP="003444F8">
      <w:pPr>
        <w:ind w:right="27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right="27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  <w:lang w:val="pl-PL"/>
        </w:rPr>
        <w:t xml:space="preserve">Rozdział 10. </w:t>
      </w:r>
      <w:bookmarkStart w:id="0" w:name="_GoBack"/>
      <w:proofErr w:type="spellStart"/>
      <w:r w:rsidRPr="003444F8">
        <w:rPr>
          <w:rFonts w:ascii="Calibri" w:hAnsi="Calibri" w:cs="Calibri"/>
          <w:color w:val="231F20"/>
          <w:lang w:val="pl-PL"/>
        </w:rPr>
        <w:t>Predyktory</w:t>
      </w:r>
      <w:proofErr w:type="spellEnd"/>
      <w:r w:rsidRPr="003444F8">
        <w:rPr>
          <w:rFonts w:ascii="Calibri" w:hAnsi="Calibri" w:cs="Calibri"/>
          <w:color w:val="231F20"/>
          <w:lang w:val="pl-PL"/>
        </w:rPr>
        <w:t xml:space="preserve"> </w:t>
      </w:r>
      <w:bookmarkEnd w:id="0"/>
      <w:r w:rsidRPr="003444F8">
        <w:rPr>
          <w:rFonts w:ascii="Calibri" w:hAnsi="Calibri" w:cs="Calibri"/>
          <w:color w:val="231F20"/>
          <w:lang w:val="pl-PL"/>
        </w:rPr>
        <w:t xml:space="preserve">poziomu przystosowania do choroby </w:t>
      </w:r>
      <w:r w:rsidRPr="003444F8">
        <w:rPr>
          <w:rFonts w:ascii="Calibri" w:hAnsi="Calibri" w:cs="Calibri"/>
          <w:color w:val="231F20"/>
          <w:lang w:val="pl-PL"/>
        </w:rPr>
        <w:t>przewlekłej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185</w:t>
      </w:r>
    </w:p>
    <w:p w:rsidR="000F3C22" w:rsidRPr="003444F8" w:rsidRDefault="003444F8" w:rsidP="003444F8">
      <w:pPr>
        <w:ind w:left="851" w:hanging="425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10.1. </w:t>
      </w:r>
      <w:proofErr w:type="spellStart"/>
      <w:r w:rsidR="00530820" w:rsidRPr="003444F8">
        <w:rPr>
          <w:rFonts w:ascii="Calibri" w:hAnsi="Calibri" w:cs="Calibri"/>
          <w:color w:val="231F20"/>
          <w:lang w:val="pl-PL"/>
        </w:rPr>
        <w:t>Predyktory</w:t>
      </w:r>
      <w:proofErr w:type="spellEnd"/>
      <w:r w:rsidR="00530820" w:rsidRPr="003444F8">
        <w:rPr>
          <w:rFonts w:ascii="Calibri" w:hAnsi="Calibri" w:cs="Calibri"/>
          <w:color w:val="231F20"/>
          <w:lang w:val="pl-PL"/>
        </w:rPr>
        <w:t xml:space="preserve"> poziomu przystosowania do choroby u osób chorych na cukrzycę</w:t>
      </w:r>
      <w:r w:rsidR="00530820" w:rsidRPr="003444F8">
        <w:rPr>
          <w:rFonts w:ascii="Calibri" w:hAnsi="Calibri" w:cs="Calibri"/>
          <w:color w:val="231F20"/>
          <w:lang w:val="pl-PL"/>
        </w:rPr>
        <w:tab/>
        <w:t>185</w:t>
      </w:r>
    </w:p>
    <w:p w:rsidR="000F3C22" w:rsidRPr="003444F8" w:rsidRDefault="003444F8" w:rsidP="003444F8">
      <w:pPr>
        <w:ind w:left="851" w:hanging="485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10.2.</w:t>
      </w:r>
      <w:r w:rsidR="00530820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="00530820" w:rsidRPr="003444F8">
        <w:rPr>
          <w:rFonts w:ascii="Calibri" w:hAnsi="Calibri" w:cs="Calibri"/>
          <w:color w:val="231F20"/>
          <w:lang w:val="pl-PL"/>
        </w:rPr>
        <w:t>Predyktory</w:t>
      </w:r>
      <w:proofErr w:type="spellEnd"/>
      <w:r w:rsidR="00530820" w:rsidRPr="003444F8">
        <w:rPr>
          <w:rFonts w:ascii="Calibri" w:hAnsi="Calibri" w:cs="Calibri"/>
          <w:color w:val="231F20"/>
          <w:lang w:val="pl-PL"/>
        </w:rPr>
        <w:t xml:space="preserve"> poziomu przystosowania do choroby u osób chorych na łuszczycę</w:t>
      </w:r>
      <w:r w:rsidR="00530820" w:rsidRPr="003444F8">
        <w:rPr>
          <w:rFonts w:ascii="Calibri" w:hAnsi="Calibri" w:cs="Calibri"/>
          <w:color w:val="231F20"/>
          <w:lang w:val="pl-PL"/>
        </w:rPr>
        <w:tab/>
        <w:t>190</w:t>
      </w:r>
    </w:p>
    <w:p w:rsidR="000F3C22" w:rsidRPr="003444F8" w:rsidRDefault="003444F8" w:rsidP="003444F8">
      <w:pPr>
        <w:ind w:left="851" w:hanging="485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10.3. </w:t>
      </w:r>
      <w:proofErr w:type="spellStart"/>
      <w:r w:rsidR="00530820" w:rsidRPr="003444F8">
        <w:rPr>
          <w:rFonts w:ascii="Calibri" w:hAnsi="Calibri" w:cs="Calibri"/>
          <w:color w:val="231F20"/>
          <w:lang w:val="pl-PL"/>
        </w:rPr>
        <w:t>Predyktory</w:t>
      </w:r>
      <w:proofErr w:type="spellEnd"/>
      <w:r w:rsidR="00530820" w:rsidRPr="003444F8">
        <w:rPr>
          <w:rFonts w:ascii="Calibri" w:hAnsi="Calibri" w:cs="Calibri"/>
          <w:color w:val="231F20"/>
          <w:lang w:val="pl-PL"/>
        </w:rPr>
        <w:t xml:space="preserve"> poziomu przystosowania do choroby u osób chorych na przewlekłą</w:t>
      </w:r>
      <w:r w:rsidRPr="003444F8">
        <w:rPr>
          <w:rFonts w:ascii="Calibri" w:eastAsia="Arial" w:hAnsi="Calibri" w:cs="Calibri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chorobę nerek</w:t>
      </w:r>
      <w:r w:rsidR="00530820" w:rsidRPr="003444F8">
        <w:rPr>
          <w:rFonts w:ascii="Calibri" w:hAnsi="Calibri" w:cs="Calibri"/>
          <w:color w:val="231F20"/>
          <w:lang w:val="pl-PL"/>
        </w:rPr>
        <w:tab/>
        <w:t>194</w:t>
      </w:r>
    </w:p>
    <w:p w:rsidR="000F3C22" w:rsidRPr="003444F8" w:rsidRDefault="003444F8" w:rsidP="003444F8">
      <w:pPr>
        <w:ind w:left="851" w:hanging="425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 xml:space="preserve">10.4. </w:t>
      </w:r>
      <w:proofErr w:type="spellStart"/>
      <w:r w:rsidR="00530820" w:rsidRPr="003444F8">
        <w:rPr>
          <w:rFonts w:ascii="Calibri" w:hAnsi="Calibri" w:cs="Calibri"/>
          <w:color w:val="231F20"/>
          <w:lang w:val="pl-PL"/>
        </w:rPr>
        <w:t>Predyktory</w:t>
      </w:r>
      <w:proofErr w:type="spellEnd"/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poziomu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przystosowania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do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choroby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u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osób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chorych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na</w:t>
      </w:r>
      <w:r w:rsidR="00530820" w:rsidRPr="003444F8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reumatoidalne</w:t>
      </w:r>
      <w:r w:rsidRPr="003444F8">
        <w:rPr>
          <w:rFonts w:ascii="Calibri" w:eastAsia="Arial" w:hAnsi="Calibri" w:cs="Calibri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zapalenie stawów</w:t>
      </w:r>
      <w:r w:rsidR="00530820" w:rsidRPr="003444F8">
        <w:rPr>
          <w:rFonts w:ascii="Calibri" w:hAnsi="Calibri" w:cs="Calibri"/>
          <w:color w:val="231F20"/>
          <w:lang w:val="pl-PL"/>
        </w:rPr>
        <w:tab/>
        <w:t>198</w:t>
      </w:r>
    </w:p>
    <w:p w:rsidR="003444F8" w:rsidRPr="003444F8" w:rsidRDefault="003444F8" w:rsidP="003444F8">
      <w:pPr>
        <w:ind w:right="27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right="27"/>
        <w:rPr>
          <w:rFonts w:ascii="Calibri" w:eastAsia="Arial" w:hAnsi="Calibri" w:cs="Calibri"/>
        </w:rPr>
      </w:pPr>
      <w:r w:rsidRPr="003444F8">
        <w:rPr>
          <w:rFonts w:ascii="Calibri" w:hAnsi="Calibri" w:cs="Calibri"/>
          <w:color w:val="231F20"/>
          <w:lang w:val="pl-PL"/>
        </w:rPr>
        <w:t xml:space="preserve">Rozdział </w:t>
      </w:r>
      <w:r w:rsidRPr="003444F8">
        <w:rPr>
          <w:rFonts w:ascii="Calibri" w:hAnsi="Calibri" w:cs="Calibri"/>
          <w:color w:val="231F20"/>
          <w:lang w:val="pl-PL"/>
        </w:rPr>
        <w:t>11.</w:t>
      </w:r>
      <w:r w:rsidRPr="003444F8">
        <w:rPr>
          <w:rFonts w:ascii="Calibri" w:hAnsi="Calibri" w:cs="Calibri"/>
          <w:color w:val="231F20"/>
          <w:lang w:val="pl-PL"/>
        </w:rPr>
        <w:t xml:space="preserve"> Dyskusja wyników</w:t>
      </w:r>
      <w:r w:rsidRPr="003444F8">
        <w:rPr>
          <w:rFonts w:ascii="Calibri" w:hAnsi="Calibri" w:cs="Calibri"/>
          <w:color w:val="231F20"/>
          <w:lang w:val="pl-PL"/>
        </w:rPr>
        <w:tab/>
      </w:r>
      <w:r w:rsidRPr="003444F8">
        <w:rPr>
          <w:rFonts w:ascii="Calibri" w:hAnsi="Calibri" w:cs="Calibri"/>
          <w:color w:val="231F20"/>
        </w:rPr>
        <w:t>201</w:t>
      </w:r>
    </w:p>
    <w:p w:rsidR="000F3C22" w:rsidRPr="003444F8" w:rsidRDefault="003444F8" w:rsidP="003444F8">
      <w:pPr>
        <w:ind w:left="851" w:hanging="485"/>
        <w:rPr>
          <w:rFonts w:ascii="Calibri" w:eastAsia="Arial" w:hAnsi="Calibri" w:cs="Calibri"/>
          <w:lang w:val="pl-PL"/>
        </w:rPr>
      </w:pPr>
      <w:r>
        <w:rPr>
          <w:rFonts w:ascii="Calibri" w:eastAsia="Arial" w:hAnsi="Calibri" w:cs="Calibri"/>
          <w:color w:val="231F20"/>
          <w:lang w:val="pl-PL"/>
        </w:rPr>
        <w:t xml:space="preserve">11.1. </w:t>
      </w:r>
      <w:r w:rsidR="00530820" w:rsidRPr="003444F8">
        <w:rPr>
          <w:rFonts w:ascii="Calibri" w:eastAsia="Arial" w:hAnsi="Calibri" w:cs="Calibri"/>
          <w:color w:val="231F20"/>
          <w:lang w:val="pl-PL"/>
        </w:rPr>
        <w:t>Przystosowanie do choroby przewlekłej – aspekty strukturalne i dynamiczne</w:t>
      </w:r>
      <w:r w:rsidR="00530820" w:rsidRPr="003444F8">
        <w:rPr>
          <w:rFonts w:ascii="Calibri" w:eastAsia="Arial" w:hAnsi="Calibri" w:cs="Calibri"/>
          <w:color w:val="231F20"/>
          <w:lang w:val="pl-PL"/>
        </w:rPr>
        <w:tab/>
        <w:t>202</w:t>
      </w:r>
    </w:p>
    <w:p w:rsidR="000F3C22" w:rsidRPr="003444F8" w:rsidRDefault="003444F8" w:rsidP="003444F8">
      <w:pPr>
        <w:ind w:left="366"/>
        <w:rPr>
          <w:rFonts w:ascii="Calibri" w:eastAsia="Arial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11.2.</w:t>
      </w:r>
      <w:r w:rsidR="00530820">
        <w:rPr>
          <w:rFonts w:ascii="Calibri" w:hAnsi="Calibri" w:cs="Calibri"/>
          <w:color w:val="231F20"/>
          <w:lang w:val="pl-PL"/>
        </w:rPr>
        <w:t xml:space="preserve"> </w:t>
      </w:r>
      <w:r w:rsidR="00530820" w:rsidRPr="003444F8">
        <w:rPr>
          <w:rFonts w:ascii="Calibri" w:hAnsi="Calibri" w:cs="Calibri"/>
          <w:color w:val="231F20"/>
          <w:lang w:val="pl-PL"/>
        </w:rPr>
        <w:t>Przystosowanie do choroby w różnych grupach klinicznyc</w:t>
      </w:r>
      <w:r w:rsidR="00530820" w:rsidRPr="003444F8">
        <w:rPr>
          <w:rFonts w:ascii="Calibri" w:hAnsi="Calibri" w:cs="Calibri"/>
          <w:color w:val="231F20"/>
          <w:lang w:val="pl-PL"/>
        </w:rPr>
        <w:t>h</w:t>
      </w:r>
      <w:r w:rsidR="00530820" w:rsidRPr="003444F8">
        <w:rPr>
          <w:rFonts w:ascii="Calibri" w:hAnsi="Calibri" w:cs="Calibri"/>
          <w:color w:val="231F20"/>
          <w:lang w:val="pl-PL"/>
        </w:rPr>
        <w:tab/>
        <w:t>203</w:t>
      </w:r>
    </w:p>
    <w:p w:rsidR="000F3C22" w:rsidRPr="003444F8" w:rsidRDefault="00530820" w:rsidP="003444F8">
      <w:pPr>
        <w:ind w:left="36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11.3. Typy</w:t>
      </w:r>
      <w:r w:rsidRPr="003444F8">
        <w:rPr>
          <w:rFonts w:ascii="Calibri" w:hAnsi="Calibri" w:cs="Calibri"/>
          <w:color w:val="231F20"/>
          <w:lang w:val="pl-PL"/>
        </w:rPr>
        <w:t xml:space="preserve"> przystosowania do choroby</w:t>
      </w:r>
      <w:r w:rsidRPr="003444F8">
        <w:rPr>
          <w:rFonts w:ascii="Calibri" w:hAnsi="Calibri" w:cs="Calibri"/>
          <w:color w:val="231F20"/>
          <w:lang w:val="pl-PL"/>
        </w:rPr>
        <w:tab/>
        <w:t>207</w:t>
      </w:r>
    </w:p>
    <w:p w:rsidR="000F3C22" w:rsidRPr="003444F8" w:rsidRDefault="00530820" w:rsidP="003444F8">
      <w:pPr>
        <w:ind w:left="851" w:hanging="484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lastRenderedPageBreak/>
        <w:t xml:space="preserve">11.4. </w:t>
      </w:r>
      <w:r w:rsidRPr="003444F8">
        <w:rPr>
          <w:rFonts w:ascii="Calibri" w:hAnsi="Calibri" w:cs="Calibri"/>
          <w:color w:val="231F20"/>
          <w:lang w:val="pl-PL"/>
        </w:rPr>
        <w:t>Poznawcza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reprezentacja</w:t>
      </w:r>
      <w:r w:rsidRPr="003444F8">
        <w:rPr>
          <w:rFonts w:ascii="Calibri" w:hAnsi="Calibri" w:cs="Calibri"/>
          <w:color w:val="231F20"/>
          <w:lang w:val="pl-PL"/>
        </w:rPr>
        <w:t xml:space="preserve"> choroby, </w:t>
      </w:r>
      <w:r w:rsidRPr="003444F8">
        <w:rPr>
          <w:rFonts w:ascii="Calibri" w:hAnsi="Calibri" w:cs="Calibri"/>
          <w:color w:val="231F20"/>
          <w:lang w:val="pl-PL"/>
        </w:rPr>
        <w:t>zasoby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pozytywne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i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przystosowanie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do</w:t>
      </w:r>
      <w:r w:rsidRPr="003444F8">
        <w:rPr>
          <w:rFonts w:ascii="Calibri" w:hAnsi="Calibri" w:cs="Calibri"/>
          <w:color w:val="231F20"/>
          <w:lang w:val="pl-PL"/>
        </w:rPr>
        <w:t xml:space="preserve"> </w:t>
      </w:r>
      <w:r w:rsidRPr="003444F8">
        <w:rPr>
          <w:rFonts w:ascii="Calibri" w:hAnsi="Calibri" w:cs="Calibri"/>
          <w:color w:val="231F20"/>
          <w:lang w:val="pl-PL"/>
        </w:rPr>
        <w:t>choroby</w:t>
      </w:r>
      <w:r w:rsidR="003444F8" w:rsidRPr="003444F8">
        <w:rPr>
          <w:rFonts w:ascii="Calibri" w:eastAsia="Arial" w:hAnsi="Calibri" w:cs="Calibri"/>
          <w:lang w:val="pl-PL"/>
        </w:rPr>
        <w:t xml:space="preserve"> </w:t>
      </w:r>
      <w:r w:rsidRPr="003444F8">
        <w:rPr>
          <w:rFonts w:ascii="Calibri" w:eastAsia="Arial" w:hAnsi="Calibri" w:cs="Calibri"/>
          <w:color w:val="231F20"/>
          <w:lang w:val="pl-PL"/>
        </w:rPr>
        <w:t>w badanych grupach – wzajemne zależności</w:t>
      </w:r>
      <w:r w:rsidRPr="003444F8">
        <w:rPr>
          <w:rFonts w:ascii="Calibri" w:eastAsia="Arial" w:hAnsi="Calibri" w:cs="Calibri"/>
          <w:color w:val="231F20"/>
          <w:lang w:val="pl-PL"/>
        </w:rPr>
        <w:tab/>
        <w:t>209</w:t>
      </w:r>
    </w:p>
    <w:p w:rsidR="003444F8" w:rsidRPr="003444F8" w:rsidRDefault="003444F8" w:rsidP="003444F8">
      <w:pPr>
        <w:ind w:right="27"/>
        <w:rPr>
          <w:rFonts w:ascii="Calibri" w:hAnsi="Calibri" w:cs="Calibri"/>
          <w:color w:val="231F20"/>
          <w:lang w:val="pl-PL"/>
        </w:rPr>
      </w:pP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Podsumowanie i praktyczne implikacje do pracy z osobami chorymi somatycznie</w:t>
      </w:r>
      <w:r w:rsidRPr="003444F8">
        <w:rPr>
          <w:rFonts w:ascii="Calibri" w:hAnsi="Calibri" w:cs="Calibri"/>
          <w:color w:val="231F20"/>
          <w:lang w:val="pl-PL"/>
        </w:rPr>
        <w:tab/>
        <w:t>217</w:t>
      </w: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Piśmiennictwo</w:t>
      </w:r>
      <w:r w:rsidRPr="003444F8">
        <w:rPr>
          <w:rFonts w:ascii="Calibri" w:hAnsi="Calibri" w:cs="Calibri"/>
          <w:color w:val="231F20"/>
          <w:lang w:val="pl-PL"/>
        </w:rPr>
        <w:tab/>
        <w:t>221</w:t>
      </w: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Spis tabel</w:t>
      </w:r>
      <w:r w:rsidRPr="003444F8">
        <w:rPr>
          <w:rFonts w:ascii="Calibri" w:hAnsi="Calibri" w:cs="Calibri"/>
          <w:color w:val="231F20"/>
          <w:lang w:val="pl-PL"/>
        </w:rPr>
        <w:tab/>
        <w:t>251</w:t>
      </w: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Spis rysunków</w:t>
      </w:r>
      <w:r w:rsidRPr="003444F8">
        <w:rPr>
          <w:rFonts w:ascii="Calibri" w:hAnsi="Calibri" w:cs="Calibri"/>
          <w:color w:val="231F20"/>
          <w:lang w:val="pl-PL"/>
        </w:rPr>
        <w:tab/>
        <w:t>253</w:t>
      </w: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Spis wykresów</w:t>
      </w:r>
      <w:r w:rsidRPr="003444F8">
        <w:rPr>
          <w:rFonts w:ascii="Calibri" w:hAnsi="Calibri" w:cs="Calibri"/>
          <w:color w:val="231F20"/>
          <w:lang w:val="pl-PL"/>
        </w:rPr>
        <w:tab/>
        <w:t>255</w:t>
      </w: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r w:rsidRPr="003444F8">
        <w:rPr>
          <w:rFonts w:ascii="Calibri" w:hAnsi="Calibri" w:cs="Calibri"/>
          <w:color w:val="231F20"/>
          <w:lang w:val="pl-PL"/>
        </w:rPr>
        <w:t>Anek</w:t>
      </w:r>
      <w:r w:rsidRPr="003444F8">
        <w:rPr>
          <w:rFonts w:ascii="Calibri" w:hAnsi="Calibri" w:cs="Calibri"/>
          <w:color w:val="231F20"/>
          <w:lang w:val="pl-PL"/>
        </w:rPr>
        <w:t>s</w:t>
      </w:r>
      <w:r w:rsidRPr="003444F8">
        <w:rPr>
          <w:rFonts w:ascii="Calibri" w:hAnsi="Calibri" w:cs="Calibri"/>
          <w:color w:val="231F20"/>
          <w:lang w:val="pl-PL"/>
        </w:rPr>
        <w:tab/>
        <w:t>257</w:t>
      </w:r>
    </w:p>
    <w:p w:rsidR="000F3C22" w:rsidRPr="003444F8" w:rsidRDefault="00530820" w:rsidP="003444F8">
      <w:pPr>
        <w:ind w:right="27"/>
        <w:rPr>
          <w:rFonts w:ascii="Calibri" w:eastAsia="Arial" w:hAnsi="Calibri" w:cs="Calibri"/>
          <w:lang w:val="pl-PL"/>
        </w:rPr>
      </w:pPr>
      <w:proofErr w:type="spellStart"/>
      <w:r w:rsidRPr="003444F8">
        <w:rPr>
          <w:rFonts w:ascii="Calibri" w:hAnsi="Calibri" w:cs="Calibri"/>
          <w:color w:val="231F20"/>
          <w:lang w:val="pl-PL"/>
        </w:rPr>
        <w:t>Summary</w:t>
      </w:r>
      <w:proofErr w:type="spellEnd"/>
      <w:r w:rsidRPr="003444F8">
        <w:rPr>
          <w:rFonts w:ascii="Calibri" w:hAnsi="Calibri" w:cs="Calibri"/>
          <w:color w:val="231F20"/>
          <w:lang w:val="pl-PL"/>
        </w:rPr>
        <w:tab/>
        <w:t>269</w:t>
      </w:r>
    </w:p>
    <w:sectPr w:rsidR="000F3C22" w:rsidRPr="003444F8">
      <w:pgSz w:w="9530" w:h="13610"/>
      <w:pgMar w:top="98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50"/>
    <w:multiLevelType w:val="multilevel"/>
    <w:tmpl w:val="2A50A916"/>
    <w:lvl w:ilvl="0">
      <w:start w:val="10"/>
      <w:numFmt w:val="decimal"/>
      <w:lvlText w:val="%1"/>
      <w:lvlJc w:val="left"/>
      <w:pPr>
        <w:ind w:left="767" w:hanging="4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401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86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6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5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5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5" w:hanging="401"/>
      </w:pPr>
      <w:rPr>
        <w:rFonts w:hint="default"/>
      </w:rPr>
    </w:lvl>
  </w:abstractNum>
  <w:abstractNum w:abstractNumId="1">
    <w:nsid w:val="10886F18"/>
    <w:multiLevelType w:val="multilevel"/>
    <w:tmpl w:val="20C6C344"/>
    <w:lvl w:ilvl="0">
      <w:start w:val="1"/>
      <w:numFmt w:val="decimal"/>
      <w:lvlText w:val="%1"/>
      <w:lvlJc w:val="left"/>
      <w:pPr>
        <w:ind w:left="605" w:hanging="3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1953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4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312"/>
      </w:pPr>
      <w:rPr>
        <w:rFonts w:hint="default"/>
      </w:rPr>
    </w:lvl>
  </w:abstractNum>
  <w:abstractNum w:abstractNumId="2">
    <w:nsid w:val="1A166120"/>
    <w:multiLevelType w:val="multilevel"/>
    <w:tmpl w:val="9D761FD8"/>
    <w:lvl w:ilvl="0">
      <w:start w:val="5"/>
      <w:numFmt w:val="decimal"/>
      <w:lvlText w:val="%1"/>
      <w:lvlJc w:val="left"/>
      <w:pPr>
        <w:ind w:left="637"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344"/>
        <w:jc w:val="left"/>
      </w:pPr>
      <w:rPr>
        <w:rFonts w:ascii="Arial" w:eastAsia="Arial" w:hAnsi="Arial" w:hint="default"/>
        <w:color w:val="231F20"/>
        <w:spacing w:val="6"/>
        <w:sz w:val="16"/>
        <w:szCs w:val="16"/>
      </w:rPr>
    </w:lvl>
    <w:lvl w:ilvl="2">
      <w:start w:val="1"/>
      <w:numFmt w:val="bullet"/>
      <w:lvlText w:val="•"/>
      <w:lvlJc w:val="left"/>
      <w:pPr>
        <w:ind w:left="1978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2" w:hanging="344"/>
      </w:pPr>
      <w:rPr>
        <w:rFonts w:hint="default"/>
      </w:rPr>
    </w:lvl>
  </w:abstractNum>
  <w:abstractNum w:abstractNumId="3">
    <w:nsid w:val="20C73B89"/>
    <w:multiLevelType w:val="multilevel"/>
    <w:tmpl w:val="ECFC1F48"/>
    <w:lvl w:ilvl="0">
      <w:start w:val="2"/>
      <w:numFmt w:val="decimal"/>
      <w:lvlText w:val="%1"/>
      <w:lvlJc w:val="left"/>
      <w:pPr>
        <w:ind w:left="605" w:hanging="31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5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1953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4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312"/>
      </w:pPr>
      <w:rPr>
        <w:rFonts w:hint="default"/>
      </w:rPr>
    </w:lvl>
  </w:abstractNum>
  <w:abstractNum w:abstractNumId="4">
    <w:nsid w:val="2803430B"/>
    <w:multiLevelType w:val="multilevel"/>
    <w:tmpl w:val="88F21106"/>
    <w:lvl w:ilvl="0">
      <w:start w:val="11"/>
      <w:numFmt w:val="decimal"/>
      <w:lvlText w:val="%1"/>
      <w:lvlJc w:val="left"/>
      <w:pPr>
        <w:ind w:left="755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389"/>
        <w:jc w:val="left"/>
      </w:pPr>
      <w:rPr>
        <w:rFonts w:ascii="Arial" w:eastAsia="Arial" w:hAnsi="Arial" w:hint="default"/>
        <w:color w:val="231F20"/>
        <w:spacing w:val="-12"/>
        <w:sz w:val="16"/>
        <w:szCs w:val="16"/>
      </w:rPr>
    </w:lvl>
    <w:lvl w:ilvl="2">
      <w:start w:val="1"/>
      <w:numFmt w:val="bullet"/>
      <w:lvlText w:val="•"/>
      <w:lvlJc w:val="left"/>
      <w:pPr>
        <w:ind w:left="207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8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2" w:hanging="389"/>
      </w:pPr>
      <w:rPr>
        <w:rFonts w:hint="default"/>
      </w:rPr>
    </w:lvl>
  </w:abstractNum>
  <w:abstractNum w:abstractNumId="5">
    <w:nsid w:val="2FC71BD1"/>
    <w:multiLevelType w:val="multilevel"/>
    <w:tmpl w:val="906847EA"/>
    <w:lvl w:ilvl="0">
      <w:start w:val="6"/>
      <w:numFmt w:val="decimal"/>
      <w:lvlText w:val="%1"/>
      <w:lvlJc w:val="left"/>
      <w:pPr>
        <w:ind w:left="3309" w:hanging="3203"/>
        <w:jc w:val="left"/>
      </w:pPr>
      <w:rPr>
        <w:rFonts w:ascii="Arial" w:eastAsia="Arial" w:hAnsi="Arial" w:hint="default"/>
        <w:color w:val="231F20"/>
        <w:position w:val="-3"/>
        <w:sz w:val="20"/>
        <w:szCs w:val="20"/>
      </w:rPr>
    </w:lvl>
    <w:lvl w:ilvl="1">
      <w:start w:val="1"/>
      <w:numFmt w:val="decimal"/>
      <w:lvlText w:val="%1.%2."/>
      <w:lvlJc w:val="left"/>
      <w:pPr>
        <w:ind w:left="598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376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312"/>
      </w:pPr>
      <w:rPr>
        <w:rFonts w:hint="default"/>
      </w:rPr>
    </w:lvl>
  </w:abstractNum>
  <w:abstractNum w:abstractNumId="6">
    <w:nsid w:val="6CBF3BFA"/>
    <w:multiLevelType w:val="multilevel"/>
    <w:tmpl w:val="6B2CD556"/>
    <w:lvl w:ilvl="0">
      <w:start w:val="3"/>
      <w:numFmt w:val="decimal"/>
      <w:lvlText w:val="%1"/>
      <w:lvlJc w:val="left"/>
      <w:pPr>
        <w:ind w:left="613" w:hanging="30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04"/>
        <w:jc w:val="left"/>
      </w:pPr>
      <w:rPr>
        <w:rFonts w:ascii="Arial" w:eastAsia="Arial" w:hAnsi="Arial" w:hint="default"/>
        <w:color w:val="231F20"/>
        <w:spacing w:val="-2"/>
        <w:sz w:val="16"/>
        <w:szCs w:val="16"/>
      </w:rPr>
    </w:lvl>
    <w:lvl w:ilvl="2">
      <w:start w:val="1"/>
      <w:numFmt w:val="bullet"/>
      <w:lvlText w:val="•"/>
      <w:lvlJc w:val="left"/>
      <w:pPr>
        <w:ind w:left="1959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3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6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9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2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5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304"/>
      </w:pPr>
      <w:rPr>
        <w:rFonts w:hint="default"/>
      </w:rPr>
    </w:lvl>
  </w:abstractNum>
  <w:abstractNum w:abstractNumId="7">
    <w:nsid w:val="77861EF3"/>
    <w:multiLevelType w:val="multilevel"/>
    <w:tmpl w:val="CF8CE9B0"/>
    <w:lvl w:ilvl="0">
      <w:start w:val="9"/>
      <w:numFmt w:val="decimal"/>
      <w:lvlText w:val="%1"/>
      <w:lvlJc w:val="left"/>
      <w:pPr>
        <w:ind w:left="598" w:hanging="31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8" w:hanging="312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1951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1" w:hanging="31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3C22"/>
    <w:rsid w:val="000F3C22"/>
    <w:rsid w:val="003444F8"/>
    <w:rsid w:val="005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26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2019-02-21T14:28:00Z</dcterms:created>
  <dcterms:modified xsi:type="dcterms:W3CDTF">2019-02-21T13:49:00Z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