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A4" w:rsidRPr="00FD73FC" w:rsidRDefault="00FD73FC" w:rsidP="00FD73FC">
      <w:pPr>
        <w:ind w:left="11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>Wstęp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ab/>
        <w:t>7</w:t>
      </w:r>
    </w:p>
    <w:p w:rsidR="00FD73FC" w:rsidRDefault="00FD73FC" w:rsidP="00FD73FC">
      <w:pPr>
        <w:ind w:left="110"/>
        <w:rPr>
          <w:rFonts w:ascii="Times New Roman" w:hAnsi="Times New Roman"/>
          <w:b/>
          <w:color w:val="161616"/>
          <w:sz w:val="20"/>
          <w:szCs w:val="20"/>
          <w:lang w:val="pl-PL"/>
        </w:rPr>
      </w:pPr>
    </w:p>
    <w:p w:rsidR="006B18A4" w:rsidRPr="00FD73FC" w:rsidRDefault="00FD73FC" w:rsidP="00FD73FC">
      <w:pPr>
        <w:ind w:left="11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/>
          <w:b/>
          <w:color w:val="161616"/>
          <w:sz w:val="20"/>
          <w:szCs w:val="20"/>
          <w:lang w:val="pl-PL"/>
        </w:rPr>
        <w:t>R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>ozdział 1.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>Dylematy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>rozwoju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>społeczeństwa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>informacyjnego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ab/>
        <w:t>13</w:t>
      </w:r>
    </w:p>
    <w:p w:rsidR="006B18A4" w:rsidRPr="00FD73FC" w:rsidRDefault="00FD73FC" w:rsidP="00FD73FC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>Społeczeństwo informacyjne w rozwoju myśli społecznej XX w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ab/>
        <w:t>23</w:t>
      </w:r>
    </w:p>
    <w:p w:rsidR="006B18A4" w:rsidRPr="00FD73FC" w:rsidRDefault="00FD73FC" w:rsidP="00FD73FC">
      <w:pPr>
        <w:numPr>
          <w:ilvl w:val="1"/>
          <w:numId w:val="5"/>
        </w:numPr>
        <w:ind w:left="697" w:hanging="36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>Istota i pojęcie społeczeństwa informacyjnego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ab/>
        <w:t>31</w:t>
      </w:r>
    </w:p>
    <w:p w:rsidR="006B18A4" w:rsidRPr="00FD73FC" w:rsidRDefault="00FD73FC" w:rsidP="00FD73FC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>Rozwój społeczeństwa informacyjnego na świecie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ab/>
        <w:t>35</w:t>
      </w:r>
    </w:p>
    <w:p w:rsidR="00FD73FC" w:rsidRDefault="00FD73FC" w:rsidP="00FD73FC">
      <w:pPr>
        <w:ind w:left="110"/>
        <w:rPr>
          <w:rFonts w:ascii="Times New Roman" w:hAnsi="Times New Roman"/>
          <w:b/>
          <w:color w:val="161616"/>
          <w:sz w:val="20"/>
          <w:szCs w:val="20"/>
          <w:lang w:val="pl-PL"/>
        </w:rPr>
      </w:pPr>
    </w:p>
    <w:p w:rsidR="006B18A4" w:rsidRPr="00FD73FC" w:rsidRDefault="00FD73FC" w:rsidP="00FD73FC">
      <w:pPr>
        <w:ind w:left="11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/>
          <w:b/>
          <w:color w:val="161616"/>
          <w:sz w:val="20"/>
          <w:szCs w:val="20"/>
          <w:lang w:val="pl-PL"/>
        </w:rPr>
        <w:t>R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>ozdział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>2.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>Społeczeństwo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>informacyjne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>w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>priorytetach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>rozwojowych</w:t>
      </w:r>
      <w:r>
        <w:rPr>
          <w:rFonts w:ascii="Times New Roman" w:hAnsi="Times New Roman"/>
          <w:b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 xml:space="preserve">Unii </w:t>
      </w:r>
      <w:r>
        <w:rPr>
          <w:rFonts w:ascii="Times New Roman" w:hAnsi="Times New Roman"/>
          <w:b/>
          <w:color w:val="161616"/>
          <w:sz w:val="20"/>
          <w:szCs w:val="20"/>
          <w:lang w:val="pl-PL"/>
        </w:rPr>
        <w:t>E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>uropejskiej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ab/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>45</w:t>
      </w:r>
    </w:p>
    <w:p w:rsidR="006B18A4" w:rsidRPr="00FD73FC" w:rsidRDefault="00FD73FC" w:rsidP="00FD73FC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>Inwestycje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>dla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>rozwoju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>społeczeństwa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>informacyjnego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>w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>latach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>2007–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>2013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>w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>Polsce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ab/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</w:rPr>
        <w:t>46</w:t>
      </w:r>
    </w:p>
    <w:p w:rsidR="006B18A4" w:rsidRPr="00FD73FC" w:rsidRDefault="00FD73FC" w:rsidP="00FD73FC">
      <w:pPr>
        <w:numPr>
          <w:ilvl w:val="1"/>
          <w:numId w:val="4"/>
        </w:numPr>
        <w:ind w:left="677" w:hanging="31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D73FC">
        <w:rPr>
          <w:rFonts w:ascii="Times New Roman" w:hAnsi="Times New Roman"/>
          <w:i/>
          <w:color w:val="161616"/>
          <w:sz w:val="20"/>
          <w:szCs w:val="20"/>
          <w:lang w:val="pl-PL"/>
        </w:rPr>
        <w:t>Europejska</w:t>
      </w:r>
      <w:r w:rsidRPr="00FD73FC">
        <w:rPr>
          <w:rFonts w:ascii="Times New Roman" w:hAnsi="Times New Roman"/>
          <w:i/>
          <w:color w:val="161616"/>
          <w:sz w:val="20"/>
          <w:szCs w:val="20"/>
          <w:lang w:val="pl-PL"/>
        </w:rPr>
        <w:t xml:space="preserve"> agenda </w:t>
      </w:r>
      <w:r w:rsidRPr="00FD73FC">
        <w:rPr>
          <w:rFonts w:ascii="Times New Roman" w:hAnsi="Times New Roman"/>
          <w:i/>
          <w:color w:val="161616"/>
          <w:sz w:val="20"/>
          <w:szCs w:val="20"/>
          <w:lang w:val="pl-PL"/>
        </w:rPr>
        <w:t>cyfrowa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>.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 xml:space="preserve"> Cele i priorytety</w:t>
      </w:r>
      <w:r w:rsidRPr="00FD73F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>interwencji publicznej w perspektywie 2020 r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ab/>
        <w:t>56</w:t>
      </w:r>
    </w:p>
    <w:p w:rsidR="006B18A4" w:rsidRPr="00FD73FC" w:rsidRDefault="00FD73FC" w:rsidP="00FD73FC">
      <w:pPr>
        <w:numPr>
          <w:ilvl w:val="1"/>
          <w:numId w:val="4"/>
        </w:numPr>
        <w:ind w:left="652" w:hanging="31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>Budowa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>SI w perspektywie finansowej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>2014–2020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ab/>
        <w:t>61</w:t>
      </w:r>
    </w:p>
    <w:p w:rsidR="00FD73FC" w:rsidRDefault="00FD73FC" w:rsidP="00FD73FC">
      <w:pPr>
        <w:ind w:left="110"/>
        <w:rPr>
          <w:rFonts w:ascii="Times New Roman" w:hAnsi="Times New Roman"/>
          <w:b/>
          <w:color w:val="161616"/>
          <w:sz w:val="20"/>
          <w:szCs w:val="20"/>
          <w:lang w:val="pl-PL"/>
        </w:rPr>
      </w:pPr>
    </w:p>
    <w:p w:rsidR="006B18A4" w:rsidRPr="00FD73FC" w:rsidRDefault="00FD73FC" w:rsidP="00FD73FC">
      <w:pPr>
        <w:ind w:left="11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/>
          <w:b/>
          <w:color w:val="161616"/>
          <w:sz w:val="20"/>
          <w:szCs w:val="20"/>
          <w:lang w:val="pl-PL"/>
        </w:rPr>
        <w:t>R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>ozdział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>3.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>Budowa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>społeczeństwa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>informacyjnego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>w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/>
          <w:color w:val="161616"/>
          <w:sz w:val="20"/>
          <w:szCs w:val="20"/>
          <w:lang w:val="pl-PL"/>
        </w:rPr>
        <w:t>P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>olsce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ab/>
        <w:t>63</w:t>
      </w:r>
    </w:p>
    <w:p w:rsidR="006B18A4" w:rsidRPr="00FD73FC" w:rsidRDefault="00FD73FC" w:rsidP="00FD73FC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>Społeczeństwo informacyjne w Polsce. Od planowania do działania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ab/>
        <w:t>63</w:t>
      </w:r>
    </w:p>
    <w:p w:rsidR="006B18A4" w:rsidRPr="00FD73FC" w:rsidRDefault="00FD73FC" w:rsidP="00FD73FC">
      <w:pPr>
        <w:numPr>
          <w:ilvl w:val="1"/>
          <w:numId w:val="3"/>
        </w:numPr>
        <w:ind w:left="67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 xml:space="preserve">Miejsce społeczeństwa informacyjnego w strategiach rozwojowych 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>Polski do roku 2030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ab/>
        <w:t>71</w:t>
      </w:r>
    </w:p>
    <w:p w:rsidR="006B18A4" w:rsidRPr="00FD73FC" w:rsidRDefault="00FD73FC" w:rsidP="00FD73FC">
      <w:pPr>
        <w:numPr>
          <w:ilvl w:val="1"/>
          <w:numId w:val="3"/>
        </w:numPr>
        <w:ind w:left="67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 xml:space="preserve">Efektywność interwencji publicznej w budowę społeczeństwa informacyjnego 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>w latach 2007–2013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ab/>
        <w:t>87</w:t>
      </w:r>
    </w:p>
    <w:p w:rsidR="006B18A4" w:rsidRPr="00FD73FC" w:rsidRDefault="00FD73FC" w:rsidP="00FD73FC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>Otoczenie prawne budowy społeczeństwa informacyjnego w Polsce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ab/>
        <w:t>94</w:t>
      </w:r>
    </w:p>
    <w:p w:rsidR="006B18A4" w:rsidRPr="00FD73FC" w:rsidRDefault="00FD73FC" w:rsidP="00FD73FC">
      <w:pPr>
        <w:numPr>
          <w:ilvl w:val="1"/>
          <w:numId w:val="3"/>
        </w:numPr>
        <w:ind w:left="637" w:hanging="300"/>
        <w:rPr>
          <w:rFonts w:ascii="Times New Roman" w:eastAsia="Times New Roman" w:hAnsi="Times New Roman" w:cs="Times New Roman"/>
          <w:sz w:val="20"/>
          <w:szCs w:val="20"/>
        </w:rPr>
      </w:pP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>Zadania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>administracji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>publicznej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>w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>budowie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>społeczeństwa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>informacyjnego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>w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>Polsce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ab/>
      </w:r>
      <w:r w:rsidRPr="00FD73FC">
        <w:rPr>
          <w:rFonts w:ascii="Times New Roman" w:hAnsi="Times New Roman"/>
          <w:color w:val="161616"/>
          <w:sz w:val="20"/>
          <w:szCs w:val="20"/>
        </w:rPr>
        <w:t>99</w:t>
      </w:r>
    </w:p>
    <w:p w:rsidR="00FD73FC" w:rsidRDefault="00FD73FC" w:rsidP="00FD73FC">
      <w:pPr>
        <w:ind w:left="110"/>
        <w:rPr>
          <w:rFonts w:ascii="Times New Roman" w:hAnsi="Times New Roman"/>
          <w:b/>
          <w:color w:val="161616"/>
          <w:sz w:val="20"/>
          <w:szCs w:val="20"/>
          <w:lang w:val="pl-PL"/>
        </w:rPr>
      </w:pPr>
    </w:p>
    <w:p w:rsidR="006B18A4" w:rsidRPr="00FD73FC" w:rsidRDefault="00FD73FC" w:rsidP="00FD73FC">
      <w:pPr>
        <w:ind w:left="11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/>
          <w:b/>
          <w:color w:val="161616"/>
          <w:sz w:val="20"/>
          <w:szCs w:val="20"/>
          <w:lang w:val="pl-PL"/>
        </w:rPr>
        <w:t>R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>ozdział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>4.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>Kluczowe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>problemy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>interwencji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>samorządu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>terytorialnego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FD73FC">
        <w:rPr>
          <w:rFonts w:ascii="Times New Roman" w:hAnsi="Times New Roman"/>
          <w:b/>
          <w:color w:val="161616"/>
          <w:sz w:val="20"/>
          <w:szCs w:val="20"/>
          <w:lang w:val="pl-PL"/>
        </w:rPr>
        <w:t>w budowę społeczeństwa informacyjnego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ab/>
        <w:t>105</w:t>
      </w:r>
    </w:p>
    <w:p w:rsidR="006B18A4" w:rsidRPr="00FD73FC" w:rsidRDefault="00FD73FC" w:rsidP="00FD73FC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>Samorząd terytorialny w budowie e-administracji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ab/>
        <w:t>105</w:t>
      </w:r>
    </w:p>
    <w:p w:rsidR="006B18A4" w:rsidRPr="00FD73FC" w:rsidRDefault="00FD73FC" w:rsidP="00FD73FC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>Samorządowe inwestycje w e-zdrowie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ab/>
        <w:t>107</w:t>
      </w:r>
    </w:p>
    <w:p w:rsidR="006B18A4" w:rsidRPr="00FD73FC" w:rsidRDefault="00FD73FC" w:rsidP="00FD73FC">
      <w:pPr>
        <w:numPr>
          <w:ilvl w:val="1"/>
          <w:numId w:val="2"/>
        </w:numPr>
        <w:ind w:left="643" w:hanging="306"/>
        <w:rPr>
          <w:rFonts w:ascii="Times New Roman" w:eastAsia="Times New Roman" w:hAnsi="Times New Roman" w:cs="Times New Roman"/>
          <w:sz w:val="20"/>
          <w:szCs w:val="20"/>
        </w:rPr>
      </w:pP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>E-edukacja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>i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>e-kultura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>–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>inwestycje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>dla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>rozwoju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>jednostek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>samorządu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>terytorialnego</w:t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  <w:lang w:val="pl-PL"/>
        </w:rPr>
        <w:tab/>
      </w:r>
      <w:r w:rsidRPr="00FD73FC">
        <w:rPr>
          <w:rFonts w:ascii="Times New Roman" w:eastAsia="Times New Roman" w:hAnsi="Times New Roman" w:cs="Times New Roman"/>
          <w:color w:val="161616"/>
          <w:sz w:val="20"/>
          <w:szCs w:val="20"/>
        </w:rPr>
        <w:t>110</w:t>
      </w:r>
    </w:p>
    <w:p w:rsidR="006B18A4" w:rsidRPr="00FD73FC" w:rsidRDefault="00FD73FC" w:rsidP="00FD73FC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>Warianty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>organizacyjne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 xml:space="preserve"> projektu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 xml:space="preserve"> </w:t>
      </w:r>
      <w:proofErr w:type="spellStart"/>
      <w:r w:rsidRPr="00FD73FC">
        <w:rPr>
          <w:rFonts w:ascii="Times New Roman" w:hAnsi="Times New Roman"/>
          <w:i/>
          <w:color w:val="161616"/>
          <w:sz w:val="20"/>
          <w:szCs w:val="20"/>
          <w:lang w:val="pl-PL"/>
        </w:rPr>
        <w:t>e</w:t>
      </w:r>
      <w:bookmarkStart w:id="0" w:name="_GoBack"/>
      <w:bookmarkEnd w:id="0"/>
      <w:r w:rsidRPr="00FD73FC">
        <w:rPr>
          <w:rFonts w:ascii="Times New Roman" w:hAnsi="Times New Roman"/>
          <w:i/>
          <w:color w:val="161616"/>
          <w:sz w:val="20"/>
          <w:szCs w:val="20"/>
          <w:lang w:val="pl-PL"/>
        </w:rPr>
        <w:t>Szkoła</w:t>
      </w:r>
      <w:proofErr w:type="spellEnd"/>
      <w:r w:rsidRPr="00FD73FC">
        <w:rPr>
          <w:rFonts w:ascii="Times New Roman" w:hAnsi="Times New Roman"/>
          <w:i/>
          <w:color w:val="161616"/>
          <w:sz w:val="20"/>
          <w:szCs w:val="20"/>
          <w:lang w:val="pl-PL"/>
        </w:rPr>
        <w:t xml:space="preserve"> Łódzkie 2020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ab/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>112</w:t>
      </w:r>
    </w:p>
    <w:p w:rsidR="006B18A4" w:rsidRPr="00FD73FC" w:rsidRDefault="00FD73FC" w:rsidP="00FD73FC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D73FC">
        <w:rPr>
          <w:rFonts w:ascii="Times New Roman" w:hAnsi="Times New Roman"/>
          <w:color w:val="161616"/>
          <w:sz w:val="20"/>
          <w:szCs w:val="20"/>
        </w:rPr>
        <w:t>Zapobieganie</w:t>
      </w:r>
      <w:proofErr w:type="spellEnd"/>
      <w:r w:rsidRPr="00FD73FC">
        <w:rPr>
          <w:rFonts w:ascii="Times New Roman" w:hAnsi="Times New Roman"/>
          <w:color w:val="161616"/>
          <w:sz w:val="20"/>
          <w:szCs w:val="20"/>
        </w:rPr>
        <w:t xml:space="preserve"> </w:t>
      </w:r>
      <w:proofErr w:type="spellStart"/>
      <w:r w:rsidRPr="00FD73FC">
        <w:rPr>
          <w:rFonts w:ascii="Times New Roman" w:hAnsi="Times New Roman"/>
          <w:color w:val="161616"/>
          <w:sz w:val="20"/>
          <w:szCs w:val="20"/>
        </w:rPr>
        <w:t>wykluczeniu</w:t>
      </w:r>
      <w:proofErr w:type="spellEnd"/>
      <w:r w:rsidRPr="00FD73FC">
        <w:rPr>
          <w:rFonts w:ascii="Times New Roman" w:hAnsi="Times New Roman"/>
          <w:color w:val="161616"/>
          <w:sz w:val="20"/>
          <w:szCs w:val="20"/>
        </w:rPr>
        <w:t xml:space="preserve"> </w:t>
      </w:r>
      <w:proofErr w:type="spellStart"/>
      <w:r w:rsidRPr="00FD73FC">
        <w:rPr>
          <w:rFonts w:ascii="Times New Roman" w:hAnsi="Times New Roman"/>
          <w:color w:val="161616"/>
          <w:sz w:val="20"/>
          <w:szCs w:val="20"/>
        </w:rPr>
        <w:t>cyfrowemu</w:t>
      </w:r>
      <w:proofErr w:type="spellEnd"/>
      <w:r w:rsidRPr="00FD73FC">
        <w:rPr>
          <w:rFonts w:ascii="Times New Roman" w:hAnsi="Times New Roman"/>
          <w:color w:val="161616"/>
          <w:sz w:val="20"/>
          <w:szCs w:val="20"/>
        </w:rPr>
        <w:t xml:space="preserve"> </w:t>
      </w:r>
      <w:proofErr w:type="spellStart"/>
      <w:r w:rsidRPr="00FD73FC">
        <w:rPr>
          <w:rFonts w:ascii="Times New Roman" w:hAnsi="Times New Roman"/>
          <w:color w:val="161616"/>
          <w:sz w:val="20"/>
          <w:szCs w:val="20"/>
        </w:rPr>
        <w:t>mieszkańców</w:t>
      </w:r>
      <w:proofErr w:type="spellEnd"/>
      <w:r w:rsidRPr="00FD73FC">
        <w:rPr>
          <w:rFonts w:ascii="Times New Roman" w:hAnsi="Times New Roman"/>
          <w:color w:val="161616"/>
          <w:sz w:val="20"/>
          <w:szCs w:val="20"/>
        </w:rPr>
        <w:tab/>
      </w:r>
      <w:r w:rsidRPr="00FD73FC">
        <w:rPr>
          <w:rFonts w:ascii="Times New Roman" w:hAnsi="Times New Roman"/>
          <w:color w:val="161616"/>
          <w:sz w:val="20"/>
          <w:szCs w:val="20"/>
        </w:rPr>
        <w:t>117</w:t>
      </w:r>
    </w:p>
    <w:p w:rsidR="006B18A4" w:rsidRPr="00FD73FC" w:rsidRDefault="00FD73FC" w:rsidP="00FD73FC">
      <w:pPr>
        <w:numPr>
          <w:ilvl w:val="1"/>
          <w:numId w:val="2"/>
        </w:numPr>
        <w:ind w:left="67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>Komunikacja jednostek samorządu terytorialnego z mieszkańcami</w:t>
      </w:r>
      <w:r w:rsidRPr="00FD73F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>z wykorzystaniem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 xml:space="preserve"> 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>TIK</w:t>
      </w:r>
      <w:r w:rsidRPr="00FD73FC">
        <w:rPr>
          <w:rFonts w:ascii="Times New Roman" w:hAnsi="Times New Roman"/>
          <w:color w:val="161616"/>
          <w:sz w:val="20"/>
          <w:szCs w:val="20"/>
          <w:lang w:val="pl-PL"/>
        </w:rPr>
        <w:tab/>
        <w:t>122</w:t>
      </w:r>
    </w:p>
    <w:p w:rsidR="00FD73FC" w:rsidRDefault="00FD73FC" w:rsidP="00FD73FC">
      <w:pPr>
        <w:ind w:left="110"/>
        <w:rPr>
          <w:rFonts w:ascii="Times New Roman" w:hAnsi="Times New Roman"/>
          <w:b/>
          <w:color w:val="161616"/>
          <w:sz w:val="20"/>
          <w:szCs w:val="20"/>
          <w:lang w:val="pl-PL"/>
        </w:rPr>
      </w:pPr>
    </w:p>
    <w:p w:rsidR="006B18A4" w:rsidRPr="00FD73FC" w:rsidRDefault="00FD73FC" w:rsidP="00FD73FC">
      <w:pPr>
        <w:ind w:left="11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D73FC">
        <w:rPr>
          <w:rFonts w:ascii="Times New Roman" w:hAnsi="Times New Roman"/>
          <w:b/>
          <w:color w:val="161616"/>
          <w:sz w:val="20"/>
          <w:szCs w:val="20"/>
        </w:rPr>
        <w:t>Zakończenie</w:t>
      </w:r>
      <w:proofErr w:type="spellEnd"/>
      <w:r w:rsidRPr="00FD73FC">
        <w:rPr>
          <w:rFonts w:ascii="Times New Roman" w:hAnsi="Times New Roman"/>
          <w:color w:val="161616"/>
          <w:sz w:val="20"/>
          <w:szCs w:val="20"/>
        </w:rPr>
        <w:tab/>
        <w:t>125</w:t>
      </w:r>
    </w:p>
    <w:p w:rsidR="006B18A4" w:rsidRPr="00FD73FC" w:rsidRDefault="00FD73FC" w:rsidP="00FD73F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D73FC">
        <w:rPr>
          <w:rFonts w:ascii="Times New Roman" w:hAnsi="Times New Roman"/>
          <w:color w:val="161616"/>
          <w:sz w:val="20"/>
          <w:szCs w:val="20"/>
        </w:rPr>
        <w:t>Obszary</w:t>
      </w:r>
      <w:proofErr w:type="spellEnd"/>
      <w:r w:rsidRPr="00FD73FC">
        <w:rPr>
          <w:rFonts w:ascii="Times New Roman" w:hAnsi="Times New Roman"/>
          <w:color w:val="161616"/>
          <w:sz w:val="20"/>
          <w:szCs w:val="20"/>
        </w:rPr>
        <w:t xml:space="preserve"> </w:t>
      </w:r>
      <w:proofErr w:type="spellStart"/>
      <w:r w:rsidRPr="00FD73FC">
        <w:rPr>
          <w:rFonts w:ascii="Times New Roman" w:hAnsi="Times New Roman"/>
          <w:color w:val="161616"/>
          <w:sz w:val="20"/>
          <w:szCs w:val="20"/>
        </w:rPr>
        <w:t>krytyczne</w:t>
      </w:r>
      <w:proofErr w:type="spellEnd"/>
      <w:r w:rsidRPr="00FD73FC">
        <w:rPr>
          <w:rFonts w:ascii="Times New Roman" w:hAnsi="Times New Roman"/>
          <w:color w:val="161616"/>
          <w:sz w:val="20"/>
          <w:szCs w:val="20"/>
        </w:rPr>
        <w:t xml:space="preserve"> </w:t>
      </w:r>
      <w:proofErr w:type="spellStart"/>
      <w:r w:rsidRPr="00FD73FC">
        <w:rPr>
          <w:rFonts w:ascii="Times New Roman" w:hAnsi="Times New Roman"/>
          <w:color w:val="161616"/>
          <w:sz w:val="20"/>
          <w:szCs w:val="20"/>
        </w:rPr>
        <w:t>inwestycji</w:t>
      </w:r>
      <w:proofErr w:type="spellEnd"/>
      <w:r w:rsidRPr="00FD73FC">
        <w:rPr>
          <w:rFonts w:ascii="Times New Roman" w:hAnsi="Times New Roman"/>
          <w:color w:val="161616"/>
          <w:sz w:val="20"/>
          <w:szCs w:val="20"/>
        </w:rPr>
        <w:t xml:space="preserve"> </w:t>
      </w:r>
      <w:proofErr w:type="spellStart"/>
      <w:r w:rsidRPr="00FD73FC">
        <w:rPr>
          <w:rFonts w:ascii="Times New Roman" w:hAnsi="Times New Roman"/>
          <w:color w:val="161616"/>
          <w:sz w:val="20"/>
          <w:szCs w:val="20"/>
        </w:rPr>
        <w:t>publicznych</w:t>
      </w:r>
      <w:proofErr w:type="spellEnd"/>
      <w:r w:rsidRPr="00FD73FC">
        <w:rPr>
          <w:rFonts w:ascii="Times New Roman" w:hAnsi="Times New Roman"/>
          <w:color w:val="161616"/>
          <w:sz w:val="20"/>
          <w:szCs w:val="20"/>
        </w:rPr>
        <w:tab/>
        <w:t>127</w:t>
      </w:r>
    </w:p>
    <w:p w:rsidR="006B18A4" w:rsidRPr="00FD73FC" w:rsidRDefault="00FD73FC" w:rsidP="00FD73F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D73FC">
        <w:rPr>
          <w:rFonts w:ascii="Times New Roman" w:hAnsi="Times New Roman"/>
          <w:color w:val="161616"/>
          <w:sz w:val="20"/>
          <w:szCs w:val="20"/>
        </w:rPr>
        <w:t>Rekomendacje</w:t>
      </w:r>
      <w:proofErr w:type="spellEnd"/>
      <w:r w:rsidRPr="00FD73FC">
        <w:rPr>
          <w:rFonts w:ascii="Times New Roman" w:hAnsi="Times New Roman"/>
          <w:color w:val="161616"/>
          <w:sz w:val="20"/>
          <w:szCs w:val="20"/>
        </w:rPr>
        <w:t xml:space="preserve"> </w:t>
      </w:r>
      <w:proofErr w:type="spellStart"/>
      <w:r w:rsidRPr="00FD73FC">
        <w:rPr>
          <w:rFonts w:ascii="Times New Roman" w:hAnsi="Times New Roman"/>
          <w:color w:val="161616"/>
          <w:sz w:val="20"/>
          <w:szCs w:val="20"/>
        </w:rPr>
        <w:t>dla</w:t>
      </w:r>
      <w:proofErr w:type="spellEnd"/>
      <w:r w:rsidRPr="00FD73FC">
        <w:rPr>
          <w:rFonts w:ascii="Times New Roman" w:hAnsi="Times New Roman"/>
          <w:color w:val="161616"/>
          <w:sz w:val="20"/>
          <w:szCs w:val="20"/>
        </w:rPr>
        <w:t xml:space="preserve"> </w:t>
      </w:r>
      <w:proofErr w:type="spellStart"/>
      <w:r w:rsidRPr="00FD73FC">
        <w:rPr>
          <w:rFonts w:ascii="Times New Roman" w:hAnsi="Times New Roman"/>
          <w:color w:val="161616"/>
          <w:sz w:val="20"/>
          <w:szCs w:val="20"/>
        </w:rPr>
        <w:t>praktyki</w:t>
      </w:r>
      <w:proofErr w:type="spellEnd"/>
      <w:r w:rsidRPr="00FD73FC">
        <w:rPr>
          <w:rFonts w:ascii="Times New Roman" w:hAnsi="Times New Roman"/>
          <w:color w:val="161616"/>
          <w:sz w:val="20"/>
          <w:szCs w:val="20"/>
        </w:rPr>
        <w:tab/>
        <w:t>128</w:t>
      </w:r>
    </w:p>
    <w:p w:rsidR="006B18A4" w:rsidRPr="00FD73FC" w:rsidRDefault="00FD73FC" w:rsidP="00FD73FC">
      <w:pPr>
        <w:ind w:left="11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D73FC">
        <w:rPr>
          <w:rFonts w:ascii="Times New Roman" w:hAnsi="Times New Roman"/>
          <w:b/>
          <w:color w:val="161616"/>
          <w:sz w:val="20"/>
          <w:szCs w:val="20"/>
        </w:rPr>
        <w:t>Bibliografia</w:t>
      </w:r>
      <w:proofErr w:type="spellEnd"/>
      <w:r w:rsidRPr="00FD73FC">
        <w:rPr>
          <w:rFonts w:ascii="Times New Roman" w:hAnsi="Times New Roman"/>
          <w:color w:val="161616"/>
          <w:sz w:val="20"/>
          <w:szCs w:val="20"/>
        </w:rPr>
        <w:tab/>
        <w:t>133</w:t>
      </w:r>
    </w:p>
    <w:p w:rsidR="006B18A4" w:rsidRPr="00FD73FC" w:rsidRDefault="00FD73FC" w:rsidP="00FD73FC">
      <w:pPr>
        <w:ind w:left="11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D73FC">
        <w:rPr>
          <w:rFonts w:ascii="Times New Roman" w:hAnsi="Times New Roman"/>
          <w:b/>
          <w:color w:val="161616"/>
          <w:sz w:val="20"/>
          <w:szCs w:val="20"/>
        </w:rPr>
        <w:t>Spis</w:t>
      </w:r>
      <w:proofErr w:type="spellEnd"/>
      <w:r w:rsidRPr="00FD73FC">
        <w:rPr>
          <w:rFonts w:ascii="Times New Roman" w:hAnsi="Times New Roman"/>
          <w:b/>
          <w:color w:val="161616"/>
          <w:sz w:val="20"/>
          <w:szCs w:val="20"/>
        </w:rPr>
        <w:t xml:space="preserve"> </w:t>
      </w:r>
      <w:proofErr w:type="spellStart"/>
      <w:r w:rsidRPr="00FD73FC">
        <w:rPr>
          <w:rFonts w:ascii="Times New Roman" w:hAnsi="Times New Roman"/>
          <w:b/>
          <w:color w:val="161616"/>
          <w:sz w:val="20"/>
          <w:szCs w:val="20"/>
        </w:rPr>
        <w:t>tabel</w:t>
      </w:r>
      <w:proofErr w:type="spellEnd"/>
      <w:r w:rsidRPr="00FD73FC">
        <w:rPr>
          <w:rFonts w:ascii="Times New Roman" w:hAnsi="Times New Roman"/>
          <w:color w:val="161616"/>
          <w:sz w:val="20"/>
          <w:szCs w:val="20"/>
        </w:rPr>
        <w:tab/>
        <w:t>139</w:t>
      </w:r>
    </w:p>
    <w:p w:rsidR="006B18A4" w:rsidRPr="00FD73FC" w:rsidRDefault="00FD73FC" w:rsidP="00FD73FC">
      <w:pPr>
        <w:ind w:left="11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D73FC">
        <w:rPr>
          <w:rFonts w:ascii="Times New Roman" w:hAnsi="Times New Roman"/>
          <w:b/>
          <w:color w:val="161616"/>
          <w:sz w:val="20"/>
          <w:szCs w:val="20"/>
        </w:rPr>
        <w:t>Spis</w:t>
      </w:r>
      <w:proofErr w:type="spellEnd"/>
      <w:r w:rsidRPr="00FD73FC">
        <w:rPr>
          <w:rFonts w:ascii="Times New Roman" w:hAnsi="Times New Roman"/>
          <w:b/>
          <w:color w:val="161616"/>
          <w:sz w:val="20"/>
          <w:szCs w:val="20"/>
        </w:rPr>
        <w:t xml:space="preserve"> </w:t>
      </w:r>
      <w:proofErr w:type="spellStart"/>
      <w:r w:rsidRPr="00FD73FC">
        <w:rPr>
          <w:rFonts w:ascii="Times New Roman" w:hAnsi="Times New Roman"/>
          <w:b/>
          <w:color w:val="161616"/>
          <w:sz w:val="20"/>
          <w:szCs w:val="20"/>
        </w:rPr>
        <w:t>rysunków</w:t>
      </w:r>
      <w:proofErr w:type="spellEnd"/>
      <w:r w:rsidRPr="00FD73FC">
        <w:rPr>
          <w:rFonts w:ascii="Times New Roman" w:hAnsi="Times New Roman"/>
          <w:color w:val="161616"/>
          <w:sz w:val="20"/>
          <w:szCs w:val="20"/>
        </w:rPr>
        <w:tab/>
        <w:t>141</w:t>
      </w:r>
    </w:p>
    <w:p w:rsidR="006B18A4" w:rsidRPr="00FD73FC" w:rsidRDefault="00FD73FC" w:rsidP="00FD73FC">
      <w:pPr>
        <w:ind w:left="110"/>
        <w:rPr>
          <w:rFonts w:ascii="Times New Roman" w:eastAsia="Times New Roman" w:hAnsi="Times New Roman" w:cs="Times New Roman"/>
          <w:sz w:val="20"/>
          <w:szCs w:val="20"/>
        </w:rPr>
      </w:pPr>
      <w:r w:rsidRPr="00FD73FC">
        <w:rPr>
          <w:rFonts w:ascii="Times New Roman" w:hAnsi="Times New Roman"/>
          <w:b/>
          <w:color w:val="161616"/>
          <w:sz w:val="20"/>
          <w:szCs w:val="20"/>
        </w:rPr>
        <w:t>O</w:t>
      </w:r>
      <w:r w:rsidRPr="00FD73FC">
        <w:rPr>
          <w:rFonts w:ascii="Times New Roman" w:hAnsi="Times New Roman"/>
          <w:b/>
          <w:color w:val="161616"/>
          <w:sz w:val="20"/>
          <w:szCs w:val="20"/>
        </w:rPr>
        <w:t xml:space="preserve"> </w:t>
      </w:r>
      <w:proofErr w:type="spellStart"/>
      <w:r w:rsidRPr="00FD73FC">
        <w:rPr>
          <w:rFonts w:ascii="Times New Roman" w:hAnsi="Times New Roman"/>
          <w:b/>
          <w:color w:val="161616"/>
          <w:sz w:val="20"/>
          <w:szCs w:val="20"/>
        </w:rPr>
        <w:t>Autorze</w:t>
      </w:r>
      <w:proofErr w:type="spellEnd"/>
      <w:r w:rsidRPr="00FD73FC">
        <w:rPr>
          <w:rFonts w:ascii="Times New Roman" w:hAnsi="Times New Roman"/>
          <w:color w:val="161616"/>
          <w:sz w:val="20"/>
          <w:szCs w:val="20"/>
        </w:rPr>
        <w:tab/>
        <w:t>143</w:t>
      </w:r>
    </w:p>
    <w:sectPr w:rsidR="006B18A4" w:rsidRPr="00FD73FC">
      <w:type w:val="continuous"/>
      <w:pgSz w:w="9530" w:h="13610"/>
      <w:pgMar w:top="1280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03D"/>
    <w:multiLevelType w:val="multilevel"/>
    <w:tmpl w:val="214488AC"/>
    <w:lvl w:ilvl="0">
      <w:start w:val="4"/>
      <w:numFmt w:val="decimal"/>
      <w:lvlText w:val="%1"/>
      <w:lvlJc w:val="left"/>
      <w:pPr>
        <w:ind w:left="652" w:hanging="3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315"/>
        <w:jc w:val="left"/>
      </w:pPr>
      <w:rPr>
        <w:rFonts w:ascii="Times New Roman" w:eastAsia="Times New Roman" w:hAnsi="Times New Roman" w:hint="default"/>
        <w:color w:val="161616"/>
        <w:sz w:val="18"/>
        <w:szCs w:val="18"/>
      </w:rPr>
    </w:lvl>
    <w:lvl w:ilvl="2">
      <w:start w:val="1"/>
      <w:numFmt w:val="decimal"/>
      <w:lvlText w:val="%1.%2.%3."/>
      <w:lvlJc w:val="left"/>
      <w:pPr>
        <w:ind w:left="1124" w:hanging="447"/>
        <w:jc w:val="left"/>
      </w:pPr>
      <w:rPr>
        <w:rFonts w:ascii="Times New Roman" w:eastAsia="Times New Roman" w:hAnsi="Times New Roman" w:hint="default"/>
        <w:color w:val="161616"/>
        <w:sz w:val="18"/>
        <w:szCs w:val="18"/>
      </w:rPr>
    </w:lvl>
    <w:lvl w:ilvl="3">
      <w:start w:val="1"/>
      <w:numFmt w:val="bullet"/>
      <w:lvlText w:val="•"/>
      <w:lvlJc w:val="left"/>
      <w:pPr>
        <w:ind w:left="2511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4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7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91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4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77" w:hanging="447"/>
      </w:pPr>
      <w:rPr>
        <w:rFonts w:hint="default"/>
      </w:rPr>
    </w:lvl>
  </w:abstractNum>
  <w:abstractNum w:abstractNumId="1">
    <w:nsid w:val="38BB0A7E"/>
    <w:multiLevelType w:val="multilevel"/>
    <w:tmpl w:val="C6D6B6C6"/>
    <w:lvl w:ilvl="0">
      <w:start w:val="2"/>
      <w:numFmt w:val="decimal"/>
      <w:lvlText w:val="%1"/>
      <w:lvlJc w:val="left"/>
      <w:pPr>
        <w:ind w:left="634" w:hanging="2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297"/>
        <w:jc w:val="left"/>
      </w:pPr>
      <w:rPr>
        <w:rFonts w:ascii="Times New Roman" w:eastAsia="Times New Roman" w:hAnsi="Times New Roman" w:hint="default"/>
        <w:color w:val="161616"/>
        <w:spacing w:val="-2"/>
        <w:w w:val="96"/>
        <w:sz w:val="18"/>
        <w:szCs w:val="18"/>
      </w:rPr>
    </w:lvl>
    <w:lvl w:ilvl="2">
      <w:start w:val="1"/>
      <w:numFmt w:val="bullet"/>
      <w:lvlText w:val="•"/>
      <w:lvlJc w:val="left"/>
      <w:pPr>
        <w:ind w:left="1980" w:hanging="2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3" w:hanging="2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6" w:hanging="2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9" w:hanging="2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2" w:hanging="2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5" w:hanging="2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18" w:hanging="297"/>
      </w:pPr>
      <w:rPr>
        <w:rFonts w:hint="default"/>
      </w:rPr>
    </w:lvl>
  </w:abstractNum>
  <w:abstractNum w:abstractNumId="2">
    <w:nsid w:val="5D6B2E70"/>
    <w:multiLevelType w:val="multilevel"/>
    <w:tmpl w:val="70D4F5E2"/>
    <w:lvl w:ilvl="0">
      <w:start w:val="1"/>
      <w:numFmt w:val="decimal"/>
      <w:lvlText w:val="%1"/>
      <w:lvlJc w:val="left"/>
      <w:pPr>
        <w:ind w:left="652" w:hanging="3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315"/>
        <w:jc w:val="left"/>
      </w:pPr>
      <w:rPr>
        <w:rFonts w:ascii="Times New Roman" w:eastAsia="Times New Roman" w:hAnsi="Times New Roman" w:hint="default"/>
        <w:color w:val="161616"/>
        <w:sz w:val="18"/>
        <w:szCs w:val="18"/>
      </w:rPr>
    </w:lvl>
    <w:lvl w:ilvl="2">
      <w:start w:val="1"/>
      <w:numFmt w:val="bullet"/>
      <w:lvlText w:val="•"/>
      <w:lvlJc w:val="left"/>
      <w:pPr>
        <w:ind w:left="1994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5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7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8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9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50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22" w:hanging="315"/>
      </w:pPr>
      <w:rPr>
        <w:rFonts w:hint="default"/>
      </w:rPr>
    </w:lvl>
  </w:abstractNum>
  <w:abstractNum w:abstractNumId="3">
    <w:nsid w:val="60963149"/>
    <w:multiLevelType w:val="multilevel"/>
    <w:tmpl w:val="92AC4148"/>
    <w:lvl w:ilvl="0">
      <w:start w:val="3"/>
      <w:numFmt w:val="decimal"/>
      <w:lvlText w:val="%1"/>
      <w:lvlJc w:val="left"/>
      <w:pPr>
        <w:ind w:left="652" w:hanging="3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315"/>
        <w:jc w:val="left"/>
      </w:pPr>
      <w:rPr>
        <w:rFonts w:ascii="Times New Roman" w:eastAsia="Times New Roman" w:hAnsi="Times New Roman" w:hint="default"/>
        <w:color w:val="161616"/>
        <w:sz w:val="18"/>
        <w:szCs w:val="18"/>
      </w:rPr>
    </w:lvl>
    <w:lvl w:ilvl="2">
      <w:start w:val="1"/>
      <w:numFmt w:val="bullet"/>
      <w:lvlText w:val="•"/>
      <w:lvlJc w:val="left"/>
      <w:pPr>
        <w:ind w:left="1994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5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7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8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9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50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22" w:hanging="315"/>
      </w:pPr>
      <w:rPr>
        <w:rFonts w:hint="default"/>
      </w:rPr>
    </w:lvl>
  </w:abstractNum>
  <w:abstractNum w:abstractNumId="4">
    <w:nsid w:val="6E8367D8"/>
    <w:multiLevelType w:val="hybridMultilevel"/>
    <w:tmpl w:val="529A5DE0"/>
    <w:lvl w:ilvl="0" w:tplc="C088CAA8">
      <w:start w:val="1"/>
      <w:numFmt w:val="decimal"/>
      <w:lvlText w:val="%1."/>
      <w:lvlJc w:val="left"/>
      <w:pPr>
        <w:ind w:left="562" w:hanging="225"/>
        <w:jc w:val="left"/>
      </w:pPr>
      <w:rPr>
        <w:rFonts w:ascii="Times New Roman" w:eastAsia="Times New Roman" w:hAnsi="Times New Roman" w:hint="default"/>
        <w:color w:val="161616"/>
        <w:sz w:val="18"/>
        <w:szCs w:val="18"/>
      </w:rPr>
    </w:lvl>
    <w:lvl w:ilvl="1" w:tplc="1F4C0430">
      <w:start w:val="1"/>
      <w:numFmt w:val="bullet"/>
      <w:lvlText w:val="•"/>
      <w:lvlJc w:val="left"/>
      <w:pPr>
        <w:ind w:left="1242" w:hanging="225"/>
      </w:pPr>
      <w:rPr>
        <w:rFonts w:hint="default"/>
      </w:rPr>
    </w:lvl>
    <w:lvl w:ilvl="2" w:tplc="02E2ECC4">
      <w:start w:val="1"/>
      <w:numFmt w:val="bullet"/>
      <w:lvlText w:val="•"/>
      <w:lvlJc w:val="left"/>
      <w:pPr>
        <w:ind w:left="1922" w:hanging="225"/>
      </w:pPr>
      <w:rPr>
        <w:rFonts w:hint="default"/>
      </w:rPr>
    </w:lvl>
    <w:lvl w:ilvl="3" w:tplc="A2D8A06A">
      <w:start w:val="1"/>
      <w:numFmt w:val="bullet"/>
      <w:lvlText w:val="•"/>
      <w:lvlJc w:val="left"/>
      <w:pPr>
        <w:ind w:left="2602" w:hanging="225"/>
      </w:pPr>
      <w:rPr>
        <w:rFonts w:hint="default"/>
      </w:rPr>
    </w:lvl>
    <w:lvl w:ilvl="4" w:tplc="6CB60BE4">
      <w:start w:val="1"/>
      <w:numFmt w:val="bullet"/>
      <w:lvlText w:val="•"/>
      <w:lvlJc w:val="left"/>
      <w:pPr>
        <w:ind w:left="3283" w:hanging="225"/>
      </w:pPr>
      <w:rPr>
        <w:rFonts w:hint="default"/>
      </w:rPr>
    </w:lvl>
    <w:lvl w:ilvl="5" w:tplc="6EB814E4">
      <w:start w:val="1"/>
      <w:numFmt w:val="bullet"/>
      <w:lvlText w:val="•"/>
      <w:lvlJc w:val="left"/>
      <w:pPr>
        <w:ind w:left="3963" w:hanging="225"/>
      </w:pPr>
      <w:rPr>
        <w:rFonts w:hint="default"/>
      </w:rPr>
    </w:lvl>
    <w:lvl w:ilvl="6" w:tplc="B7BE9E5A">
      <w:start w:val="1"/>
      <w:numFmt w:val="bullet"/>
      <w:lvlText w:val="•"/>
      <w:lvlJc w:val="left"/>
      <w:pPr>
        <w:ind w:left="4643" w:hanging="225"/>
      </w:pPr>
      <w:rPr>
        <w:rFonts w:hint="default"/>
      </w:rPr>
    </w:lvl>
    <w:lvl w:ilvl="7" w:tplc="863AF680">
      <w:start w:val="1"/>
      <w:numFmt w:val="bullet"/>
      <w:lvlText w:val="•"/>
      <w:lvlJc w:val="left"/>
      <w:pPr>
        <w:ind w:left="5323" w:hanging="225"/>
      </w:pPr>
      <w:rPr>
        <w:rFonts w:hint="default"/>
      </w:rPr>
    </w:lvl>
    <w:lvl w:ilvl="8" w:tplc="4B4E528A">
      <w:start w:val="1"/>
      <w:numFmt w:val="bullet"/>
      <w:lvlText w:val="•"/>
      <w:lvlJc w:val="left"/>
      <w:pPr>
        <w:ind w:left="6004" w:hanging="22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B18A4"/>
    <w:rsid w:val="006B18A4"/>
    <w:rsid w:val="00FD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8"/>
      <w:ind w:left="10"/>
    </w:pPr>
    <w:rPr>
      <w:rFonts w:ascii="Times New Roman" w:eastAsia="Times New Roman" w:hAnsi="Times New Roman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2018-05-25T14:54:00Z</dcterms:created>
  <dcterms:modified xsi:type="dcterms:W3CDTF">2018-05-25T13:02:00Z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LastSaved">
    <vt:filetime>2018-05-25T00:00:00Z</vt:filetime>
  </property>
</Properties>
</file>