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9E" w:rsidRDefault="00792E0B">
      <w:r>
        <w:t>Spis treści</w:t>
      </w:r>
    </w:p>
    <w:p w:rsidR="00F11B65" w:rsidRDefault="00792E0B">
      <w:r w:rsidRPr="00792E0B">
        <w:t>WSTĘP</w:t>
      </w:r>
      <w:r w:rsidR="00F11B65">
        <w:tab/>
      </w:r>
      <w:r w:rsidRPr="00792E0B">
        <w:t xml:space="preserve">9 </w:t>
      </w:r>
    </w:p>
    <w:p w:rsidR="0040342B" w:rsidRDefault="00792E0B">
      <w:r w:rsidRPr="00792E0B">
        <w:t>1. WPROWADZENIE DO PROBLEMATYKI TOŻSA</w:t>
      </w:r>
      <w:r w:rsidR="00F11B65">
        <w:t>MOŚCI  NARODOWEJ I NACJONALIZMU</w:t>
      </w:r>
      <w:r w:rsidR="00F11B65">
        <w:tab/>
      </w:r>
      <w:r w:rsidRPr="00792E0B">
        <w:t xml:space="preserve">14 </w:t>
      </w:r>
    </w:p>
    <w:p w:rsidR="0040342B" w:rsidRDefault="00792E0B" w:rsidP="00F11B65">
      <w:pPr>
        <w:ind w:firstLine="708"/>
      </w:pPr>
      <w:r w:rsidRPr="00792E0B">
        <w:t xml:space="preserve">1.1. </w:t>
      </w:r>
      <w:r w:rsidR="00F11B65">
        <w:t>O pojęciu narodu i nacjonalizmu</w:t>
      </w:r>
      <w:r w:rsidR="00F11B65">
        <w:tab/>
      </w:r>
      <w:r w:rsidRPr="00792E0B">
        <w:t xml:space="preserve">14 </w:t>
      </w:r>
    </w:p>
    <w:p w:rsidR="0040342B" w:rsidRDefault="00792E0B" w:rsidP="00F11B65">
      <w:pPr>
        <w:ind w:firstLine="708"/>
      </w:pPr>
      <w:r w:rsidRPr="00792E0B">
        <w:t>1.2. Przegląd zachodnich koncepcji narodu</w:t>
      </w:r>
      <w:r w:rsidR="00F11B65">
        <w:tab/>
      </w:r>
      <w:r w:rsidRPr="00792E0B">
        <w:t xml:space="preserve">20 </w:t>
      </w:r>
    </w:p>
    <w:p w:rsidR="0040342B" w:rsidRDefault="00792E0B" w:rsidP="00F11B65">
      <w:pPr>
        <w:ind w:left="708"/>
      </w:pPr>
      <w:r w:rsidRPr="00792E0B">
        <w:t>1.3. O meandrach polityki historycznej</w:t>
      </w:r>
      <w:r w:rsidR="00F11B65">
        <w:tab/>
      </w:r>
      <w:r w:rsidRPr="00792E0B">
        <w:t>27</w:t>
      </w:r>
    </w:p>
    <w:p w:rsidR="0040342B" w:rsidRDefault="00792E0B">
      <w:r w:rsidRPr="00792E0B">
        <w:t>2. ARABSKIE KONCEPCJE NARODU I NACJONALIZMU. MI</w:t>
      </w:r>
      <w:r w:rsidR="005B0A4E">
        <w:t>ĘDZY TRADYCJĄ A WSPÓŁCZESNOŚCIĄ</w:t>
      </w:r>
      <w:r w:rsidR="005B0A4E">
        <w:tab/>
      </w:r>
      <w:r w:rsidRPr="00792E0B">
        <w:t xml:space="preserve">32 </w:t>
      </w:r>
    </w:p>
    <w:p w:rsidR="0040342B" w:rsidRDefault="00792E0B" w:rsidP="005B0A4E">
      <w:pPr>
        <w:ind w:left="708"/>
      </w:pPr>
      <w:r w:rsidRPr="00792E0B">
        <w:t>2.1. O arabskim nazewnictwie narodu i nacjonalizmu</w:t>
      </w:r>
      <w:r w:rsidR="005B0A4E">
        <w:tab/>
      </w:r>
      <w:r w:rsidRPr="00792E0B">
        <w:t xml:space="preserve">32 </w:t>
      </w:r>
    </w:p>
    <w:p w:rsidR="0040342B" w:rsidRDefault="00792E0B" w:rsidP="005B0A4E">
      <w:pPr>
        <w:ind w:left="708"/>
      </w:pPr>
      <w:r w:rsidRPr="00792E0B">
        <w:t>2.2. Współczesna arabska refleksja nad problematyką narodową</w:t>
      </w:r>
      <w:r w:rsidR="005B0A4E">
        <w:tab/>
      </w:r>
      <w:r w:rsidRPr="00792E0B">
        <w:t>35</w:t>
      </w:r>
    </w:p>
    <w:p w:rsidR="0040342B" w:rsidRDefault="00792E0B">
      <w:r w:rsidRPr="00792E0B">
        <w:t>3. GENEZA HISTORYCZNA NACJONALIZMU PALESTYŃSKIEGO</w:t>
      </w:r>
      <w:r w:rsidR="005B0A4E">
        <w:tab/>
      </w:r>
      <w:r w:rsidRPr="00792E0B">
        <w:t xml:space="preserve">42 </w:t>
      </w:r>
    </w:p>
    <w:p w:rsidR="0040342B" w:rsidRDefault="00792E0B" w:rsidP="005B0A4E">
      <w:pPr>
        <w:ind w:left="708"/>
      </w:pPr>
      <w:r w:rsidRPr="00792E0B">
        <w:t>3.1. Od schyłku imperium osmańskiego do monarchii haszymidzkiej</w:t>
      </w:r>
      <w:r w:rsidR="005B0A4E">
        <w:tab/>
      </w:r>
      <w:r w:rsidRPr="00792E0B">
        <w:t xml:space="preserve">42 </w:t>
      </w:r>
    </w:p>
    <w:p w:rsidR="0040342B" w:rsidRDefault="00792E0B" w:rsidP="005B0A4E">
      <w:pPr>
        <w:ind w:left="708"/>
      </w:pPr>
      <w:r w:rsidRPr="00792E0B">
        <w:t>3.2. Fragmentacja arabskiego ruchu narodowego i zwrot ku tożs</w:t>
      </w:r>
      <w:r w:rsidR="005B0A4E">
        <w:t>amości palestyńskiej (1918–     1920)</w:t>
      </w:r>
      <w:r w:rsidR="005B0A4E">
        <w:tab/>
      </w:r>
      <w:r w:rsidRPr="00792E0B">
        <w:t xml:space="preserve">52 </w:t>
      </w:r>
    </w:p>
    <w:p w:rsidR="0040342B" w:rsidRDefault="00792E0B" w:rsidP="00DA66F4">
      <w:pPr>
        <w:ind w:firstLine="708"/>
      </w:pPr>
      <w:r w:rsidRPr="00792E0B">
        <w:t>3.3. Wczesny nacjonalizm arabski i pal</w:t>
      </w:r>
      <w:r w:rsidR="00DA66F4">
        <w:t>estyński a syjonizm</w:t>
      </w:r>
      <w:r w:rsidR="00DA66F4">
        <w:tab/>
      </w:r>
      <w:r w:rsidRPr="00792E0B">
        <w:t>57</w:t>
      </w:r>
    </w:p>
    <w:p w:rsidR="0040342B" w:rsidRDefault="00792E0B">
      <w:r w:rsidRPr="00792E0B">
        <w:t>4. TOŻSAMOŚĆ NARODOWA WSPÓLNOTY PALES</w:t>
      </w:r>
      <w:r w:rsidR="00DA66F4">
        <w:t>TYŃSKIEJ  — WYBRANE ZAGADNIENIA</w:t>
      </w:r>
      <w:r w:rsidR="00DA66F4">
        <w:tab/>
      </w:r>
      <w:r w:rsidRPr="00792E0B">
        <w:t xml:space="preserve">61 </w:t>
      </w:r>
    </w:p>
    <w:p w:rsidR="0040342B" w:rsidRDefault="00792E0B" w:rsidP="00DA66F4">
      <w:pPr>
        <w:ind w:firstLine="708"/>
      </w:pPr>
      <w:r w:rsidRPr="00792E0B">
        <w:t>4.1. Wymarzona ojczyzna Palestyńczyków. O terytoriu</w:t>
      </w:r>
      <w:r w:rsidR="00DA66F4">
        <w:t>m, nazwie i geografii Palestyny</w:t>
      </w:r>
      <w:r w:rsidR="00DA66F4">
        <w:tab/>
      </w:r>
      <w:r w:rsidRPr="00792E0B">
        <w:t xml:space="preserve">63 </w:t>
      </w:r>
    </w:p>
    <w:p w:rsidR="0040342B" w:rsidRDefault="00792E0B" w:rsidP="00DA66F4">
      <w:pPr>
        <w:ind w:left="708"/>
      </w:pPr>
      <w:r w:rsidRPr="00792E0B">
        <w:t xml:space="preserve">4.2. Ewolucja palestyńskiej tożsamości kolektywnej w drugiej połowie XX wieku. Pojmowanie jedności </w:t>
      </w:r>
      <w:r w:rsidR="00DA66F4">
        <w:t>narodowej</w:t>
      </w:r>
      <w:r w:rsidR="00DA66F4">
        <w:tab/>
      </w:r>
      <w:r w:rsidRPr="00792E0B">
        <w:t xml:space="preserve">69 </w:t>
      </w:r>
    </w:p>
    <w:p w:rsidR="00792E0B" w:rsidRDefault="00792E0B" w:rsidP="00DA66F4">
      <w:pPr>
        <w:ind w:left="708"/>
      </w:pPr>
      <w:r w:rsidRPr="00792E0B">
        <w:t>4.3. Palestyńska tożsamość narodowa a islam polityczny na przykładzie ideologii Muzułmańskiego Ruchu Oporu „Hamas</w:t>
      </w:r>
      <w:r w:rsidR="00DA66F4">
        <w:t>”</w:t>
      </w:r>
      <w:r w:rsidR="00DA66F4">
        <w:tab/>
      </w:r>
      <w:r w:rsidRPr="00792E0B">
        <w:t>77</w:t>
      </w:r>
    </w:p>
    <w:p w:rsidR="0040342B" w:rsidRDefault="00792E0B">
      <w:r w:rsidRPr="00792E0B">
        <w:t>5. LITERATURA PIĘKNA – ISTOTNY SKŁADNIK PALESTYŃSKIE</w:t>
      </w:r>
      <w:r w:rsidR="00DA66F4">
        <w:t>J  TOŻSAMOŚCI NARODOWEJ</w:t>
      </w:r>
      <w:r w:rsidR="00DA66F4">
        <w:tab/>
      </w:r>
      <w:r w:rsidRPr="00792E0B">
        <w:t xml:space="preserve">94 </w:t>
      </w:r>
    </w:p>
    <w:p w:rsidR="0040342B" w:rsidRDefault="00792E0B" w:rsidP="00DA66F4">
      <w:pPr>
        <w:ind w:firstLine="708"/>
      </w:pPr>
      <w:r w:rsidRPr="00792E0B">
        <w:t xml:space="preserve">5.1. Kanon literatury palestyńskiej. </w:t>
      </w:r>
      <w:proofErr w:type="spellStart"/>
      <w:r w:rsidRPr="00792E0B">
        <w:t>Maḥ</w:t>
      </w:r>
      <w:r w:rsidR="00DA66F4">
        <w:t>mūd</w:t>
      </w:r>
      <w:proofErr w:type="spellEnd"/>
      <w:r w:rsidR="00DA66F4">
        <w:t xml:space="preserve"> </w:t>
      </w:r>
      <w:proofErr w:type="spellStart"/>
      <w:r w:rsidR="00DA66F4">
        <w:t>Darwīš</w:t>
      </w:r>
      <w:proofErr w:type="spellEnd"/>
      <w:r w:rsidR="00DA66F4">
        <w:t xml:space="preserve"> i </w:t>
      </w:r>
      <w:proofErr w:type="spellStart"/>
      <w:r w:rsidR="00DA66F4">
        <w:t>Ġassān</w:t>
      </w:r>
      <w:proofErr w:type="spellEnd"/>
      <w:r w:rsidR="00DA66F4">
        <w:t xml:space="preserve"> </w:t>
      </w:r>
      <w:proofErr w:type="spellStart"/>
      <w:r w:rsidR="00DA66F4">
        <w:t>Kanafānī</w:t>
      </w:r>
      <w:proofErr w:type="spellEnd"/>
      <w:r w:rsidR="00DA66F4">
        <w:tab/>
      </w:r>
      <w:r w:rsidR="00DA66F4" w:rsidRPr="00792E0B">
        <w:t xml:space="preserve"> </w:t>
      </w:r>
      <w:r w:rsidRPr="00792E0B">
        <w:t xml:space="preserve">94 </w:t>
      </w:r>
    </w:p>
    <w:p w:rsidR="0040342B" w:rsidRDefault="00792E0B" w:rsidP="00DA66F4">
      <w:pPr>
        <w:ind w:firstLine="708"/>
      </w:pPr>
      <w:r w:rsidRPr="00792E0B">
        <w:t xml:space="preserve">5.2. </w:t>
      </w:r>
      <w:proofErr w:type="spellStart"/>
      <w:r w:rsidRPr="00792E0B">
        <w:t>Rağa</w:t>
      </w:r>
      <w:proofErr w:type="spellEnd"/>
      <w:r w:rsidRPr="00792E0B">
        <w:t xml:space="preserve"> </w:t>
      </w:r>
      <w:proofErr w:type="spellStart"/>
      <w:r w:rsidRPr="00792E0B">
        <w:t>Šahāda</w:t>
      </w:r>
      <w:proofErr w:type="spellEnd"/>
      <w:r w:rsidRPr="00792E0B">
        <w:t xml:space="preserve"> (Raja </w:t>
      </w:r>
      <w:proofErr w:type="spellStart"/>
      <w:r w:rsidRPr="00792E0B">
        <w:t>Shehadeh</w:t>
      </w:r>
      <w:proofErr w:type="spellEnd"/>
      <w:r w:rsidRPr="00792E0B">
        <w:t>) – palestyńskie wędrówki i</w:t>
      </w:r>
      <w:r w:rsidR="00DA66F4">
        <w:t xml:space="preserve"> boje</w:t>
      </w:r>
      <w:r w:rsidR="00DA66F4">
        <w:tab/>
      </w:r>
      <w:r w:rsidRPr="00792E0B">
        <w:t>102</w:t>
      </w:r>
    </w:p>
    <w:p w:rsidR="0040342B" w:rsidRDefault="00792E0B">
      <w:r w:rsidRPr="00792E0B">
        <w:t>6. MUZYKA POPULARNA JAKO WEHIKUŁ TO</w:t>
      </w:r>
      <w:r w:rsidR="00DA66F4">
        <w:t>ŻSAMOŚCI PALESTYŃSKIEJ</w:t>
      </w:r>
      <w:r w:rsidR="00DA66F4">
        <w:tab/>
      </w:r>
      <w:r w:rsidRPr="00792E0B">
        <w:t xml:space="preserve">107 </w:t>
      </w:r>
    </w:p>
    <w:p w:rsidR="0040342B" w:rsidRDefault="00792E0B" w:rsidP="00DA66F4">
      <w:pPr>
        <w:ind w:firstLine="708"/>
      </w:pPr>
      <w:r w:rsidRPr="00792E0B">
        <w:t xml:space="preserve">6.1. Hip-hop palestyński i </w:t>
      </w:r>
      <w:proofErr w:type="spellStart"/>
      <w:r w:rsidRPr="00792E0B">
        <w:t>propalestyński</w:t>
      </w:r>
      <w:proofErr w:type="spellEnd"/>
      <w:r w:rsidRPr="00792E0B">
        <w:t xml:space="preserve"> – ponadnarodowy głos wykluczonych</w:t>
      </w:r>
      <w:r w:rsidR="00DA66F4">
        <w:t xml:space="preserve"> i uciśnionych</w:t>
      </w:r>
      <w:r w:rsidR="00DA66F4">
        <w:tab/>
      </w:r>
      <w:r w:rsidRPr="00792E0B">
        <w:t xml:space="preserve">107 </w:t>
      </w:r>
    </w:p>
    <w:p w:rsidR="0040342B" w:rsidRDefault="00792E0B" w:rsidP="00DA66F4">
      <w:pPr>
        <w:ind w:left="708"/>
      </w:pPr>
      <w:r w:rsidRPr="00792E0B">
        <w:t xml:space="preserve">6.2. </w:t>
      </w:r>
      <w:proofErr w:type="spellStart"/>
      <w:r w:rsidRPr="00792E0B">
        <w:t>Ǧawān</w:t>
      </w:r>
      <w:proofErr w:type="spellEnd"/>
      <w:r w:rsidRPr="00792E0B">
        <w:t xml:space="preserve"> </w:t>
      </w:r>
      <w:proofErr w:type="spellStart"/>
      <w:r w:rsidRPr="00792E0B">
        <w:t>Ṣafadī</w:t>
      </w:r>
      <w:proofErr w:type="spellEnd"/>
      <w:r w:rsidRPr="00792E0B">
        <w:t xml:space="preserve"> (</w:t>
      </w:r>
      <w:proofErr w:type="spellStart"/>
      <w:r w:rsidRPr="00792E0B">
        <w:t>Jowan</w:t>
      </w:r>
      <w:proofErr w:type="spellEnd"/>
      <w:r w:rsidRPr="00792E0B">
        <w:t xml:space="preserve"> </w:t>
      </w:r>
      <w:proofErr w:type="spellStart"/>
      <w:r w:rsidRPr="00792E0B">
        <w:t>Safadi</w:t>
      </w:r>
      <w:proofErr w:type="spellEnd"/>
      <w:r w:rsidRPr="00792E0B">
        <w:t>) – niespokojny duch „wolnego rocka arabskiego”</w:t>
      </w:r>
      <w:r w:rsidR="00DA66F4">
        <w:tab/>
      </w:r>
      <w:r w:rsidR="00DA66F4" w:rsidRPr="00792E0B">
        <w:t xml:space="preserve"> </w:t>
      </w:r>
      <w:r w:rsidRPr="00792E0B">
        <w:t xml:space="preserve">118 6.3. </w:t>
      </w:r>
      <w:proofErr w:type="spellStart"/>
      <w:r w:rsidRPr="00792E0B">
        <w:t>Muḥammad</w:t>
      </w:r>
      <w:proofErr w:type="spellEnd"/>
      <w:r w:rsidRPr="00792E0B">
        <w:t xml:space="preserve"> ‘</w:t>
      </w:r>
      <w:proofErr w:type="spellStart"/>
      <w:r w:rsidRPr="00792E0B">
        <w:t>Assāf</w:t>
      </w:r>
      <w:proofErr w:type="spellEnd"/>
      <w:r w:rsidRPr="00792E0B">
        <w:t xml:space="preserve"> (Mohammad </w:t>
      </w:r>
      <w:proofErr w:type="spellStart"/>
      <w:r w:rsidRPr="00792E0B">
        <w:t>Assaf</w:t>
      </w:r>
      <w:proofErr w:type="spellEnd"/>
      <w:r w:rsidRPr="00792E0B">
        <w:t>) – „idol z ulicy”, nowy typ bohate</w:t>
      </w:r>
      <w:r w:rsidR="00DA66F4">
        <w:t xml:space="preserve">ra palestyńskiego    </w:t>
      </w:r>
      <w:r w:rsidRPr="00792E0B">
        <w:t xml:space="preserve">122 </w:t>
      </w:r>
    </w:p>
    <w:p w:rsidR="0040342B" w:rsidRDefault="00792E0B">
      <w:r w:rsidRPr="00792E0B">
        <w:t>ZAKOŃCZENIE. W KIERUNKU KATASTRO</w:t>
      </w:r>
      <w:r w:rsidR="00DA66F4">
        <w:t>FY?</w:t>
      </w:r>
      <w:r w:rsidR="00DA66F4">
        <w:tab/>
      </w:r>
      <w:r w:rsidRPr="00792E0B">
        <w:t xml:space="preserve">127 </w:t>
      </w:r>
    </w:p>
    <w:p w:rsidR="0040342B" w:rsidRDefault="00DA66F4">
      <w:r>
        <w:t>ANEKS</w:t>
      </w:r>
      <w:r>
        <w:tab/>
      </w:r>
      <w:r w:rsidR="00792E0B" w:rsidRPr="00792E0B">
        <w:t xml:space="preserve">135 </w:t>
      </w:r>
    </w:p>
    <w:p w:rsidR="00792E0B" w:rsidRDefault="00792E0B">
      <w:r w:rsidRPr="00792E0B">
        <w:t>BIBLIO</w:t>
      </w:r>
      <w:r w:rsidR="00DA66F4">
        <w:t>GRAFIA</w:t>
      </w:r>
      <w:r w:rsidR="00DA66F4">
        <w:tab/>
      </w:r>
      <w:bookmarkStart w:id="0" w:name="_GoBack"/>
      <w:bookmarkEnd w:id="0"/>
      <w:r w:rsidRPr="00792E0B">
        <w:t>148</w:t>
      </w:r>
    </w:p>
    <w:sectPr w:rsidR="0079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B"/>
    <w:rsid w:val="0040342B"/>
    <w:rsid w:val="005B0A4E"/>
    <w:rsid w:val="00792E0B"/>
    <w:rsid w:val="00C8129E"/>
    <w:rsid w:val="00DA66F4"/>
    <w:rsid w:val="00F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2A93"/>
  <w15:chartTrackingRefBased/>
  <w15:docId w15:val="{9F00D219-96F4-474D-A051-E88071E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2020-01-21T13:23:00Z</dcterms:created>
  <dcterms:modified xsi:type="dcterms:W3CDTF">2020-01-21T13:38:00Z</dcterms:modified>
</cp:coreProperties>
</file>