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D9" w:rsidRDefault="00C025D9" w:rsidP="00C025D9">
      <w:pPr>
        <w:ind w:left="720" w:hanging="72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C025D9">
        <w:rPr>
          <w:rFonts w:ascii="Times New Roman" w:hAnsi="Times New Roman" w:cs="Times New Roman"/>
          <w:b/>
          <w:sz w:val="20"/>
          <w:szCs w:val="20"/>
          <w:lang w:val="pl-PL"/>
        </w:rPr>
        <w:t>Wprowadzenie  7</w:t>
      </w:r>
    </w:p>
    <w:p w:rsidR="00C025D9" w:rsidRDefault="00C025D9" w:rsidP="00C025D9">
      <w:pPr>
        <w:ind w:left="720" w:hanging="720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C025D9" w:rsidRDefault="00C025D9" w:rsidP="00C025D9">
      <w:pPr>
        <w:ind w:left="720" w:hanging="72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C025D9">
        <w:rPr>
          <w:rFonts w:ascii="Times New Roman" w:hAnsi="Times New Roman" w:cs="Times New Roman"/>
          <w:b/>
          <w:sz w:val="20"/>
          <w:szCs w:val="20"/>
          <w:lang w:val="pl-PL"/>
        </w:rPr>
        <w:t>Część I. Kapitał społeczny, więzi społeczne  11</w:t>
      </w:r>
    </w:p>
    <w:p w:rsidR="001572BA" w:rsidRPr="001572BA" w:rsidRDefault="001572BA" w:rsidP="00C025D9">
      <w:pPr>
        <w:ind w:left="720" w:hanging="720"/>
        <w:rPr>
          <w:rFonts w:ascii="Times New Roman" w:hAnsi="Times New Roman" w:cs="Times New Roman"/>
          <w:sz w:val="20"/>
          <w:szCs w:val="20"/>
          <w:lang w:val="pl-PL"/>
        </w:rPr>
      </w:pPr>
      <w:r w:rsidRPr="001572BA">
        <w:rPr>
          <w:rFonts w:ascii="Times New Roman" w:hAnsi="Times New Roman" w:cs="Times New Roman"/>
          <w:sz w:val="20"/>
          <w:szCs w:val="20"/>
          <w:lang w:val="pl-PL"/>
        </w:rPr>
        <w:t xml:space="preserve">Monika Dorota Adamczyk, Kapitał kulturowy jako czynnik reprodukcji nierówności społecznych w teorii Pierre’a </w:t>
      </w:r>
      <w:proofErr w:type="spellStart"/>
      <w:r w:rsidRPr="001572BA">
        <w:rPr>
          <w:rFonts w:ascii="Times New Roman" w:hAnsi="Times New Roman" w:cs="Times New Roman"/>
          <w:sz w:val="20"/>
          <w:szCs w:val="20"/>
          <w:lang w:val="pl-PL"/>
        </w:rPr>
        <w:t>Bourdieu</w:t>
      </w:r>
      <w:proofErr w:type="spellEnd"/>
      <w:r w:rsidR="00C025D9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1572BA">
        <w:rPr>
          <w:rFonts w:ascii="Times New Roman" w:hAnsi="Times New Roman" w:cs="Times New Roman"/>
          <w:sz w:val="20"/>
          <w:szCs w:val="20"/>
          <w:lang w:val="pl-PL"/>
        </w:rPr>
        <w:t>13</w:t>
      </w:r>
    </w:p>
    <w:p w:rsidR="001572BA" w:rsidRPr="001572BA" w:rsidRDefault="001572BA" w:rsidP="00C025D9">
      <w:pPr>
        <w:ind w:left="720" w:hanging="720"/>
        <w:rPr>
          <w:rFonts w:ascii="Times New Roman" w:hAnsi="Times New Roman" w:cs="Times New Roman"/>
          <w:sz w:val="20"/>
          <w:szCs w:val="20"/>
          <w:lang w:val="pl-PL"/>
        </w:rPr>
      </w:pPr>
      <w:r w:rsidRPr="001572BA">
        <w:rPr>
          <w:rFonts w:ascii="Times New Roman" w:hAnsi="Times New Roman" w:cs="Times New Roman"/>
          <w:sz w:val="20"/>
          <w:szCs w:val="20"/>
          <w:lang w:val="pl-PL"/>
        </w:rPr>
        <w:t>Mariola Bieńko, Intymne oraz prywatne granice związku kobiety i mężczyzny</w:t>
      </w:r>
      <w:r w:rsidR="00C025D9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1572BA">
        <w:rPr>
          <w:rFonts w:ascii="Times New Roman" w:hAnsi="Times New Roman" w:cs="Times New Roman"/>
          <w:sz w:val="20"/>
          <w:szCs w:val="20"/>
          <w:lang w:val="pl-PL"/>
        </w:rPr>
        <w:t>31</w:t>
      </w:r>
    </w:p>
    <w:p w:rsidR="001572BA" w:rsidRPr="001572BA" w:rsidRDefault="001572BA" w:rsidP="00C025D9">
      <w:pPr>
        <w:ind w:left="720" w:hanging="720"/>
        <w:rPr>
          <w:rFonts w:ascii="Times New Roman" w:hAnsi="Times New Roman" w:cs="Times New Roman"/>
          <w:sz w:val="20"/>
          <w:szCs w:val="20"/>
          <w:lang w:val="pl-PL"/>
        </w:rPr>
      </w:pPr>
      <w:r w:rsidRPr="001572BA">
        <w:rPr>
          <w:rFonts w:ascii="Times New Roman" w:hAnsi="Times New Roman" w:cs="Times New Roman"/>
          <w:sz w:val="20"/>
          <w:szCs w:val="20"/>
          <w:lang w:val="pl-PL"/>
        </w:rPr>
        <w:t>Lucyna Prorok Rodzina jako sfera racjonalnych działań (wyborów) Polaków</w:t>
      </w:r>
      <w:r w:rsidR="00C025D9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1572BA">
        <w:rPr>
          <w:rFonts w:ascii="Times New Roman" w:hAnsi="Times New Roman" w:cs="Times New Roman"/>
          <w:sz w:val="20"/>
          <w:szCs w:val="20"/>
          <w:lang w:val="pl-PL"/>
        </w:rPr>
        <w:t>47</w:t>
      </w:r>
    </w:p>
    <w:p w:rsidR="00DB0593" w:rsidRDefault="001572BA" w:rsidP="00C025D9">
      <w:pPr>
        <w:ind w:left="720" w:hanging="720"/>
        <w:rPr>
          <w:rFonts w:ascii="Times New Roman" w:hAnsi="Times New Roman" w:cs="Times New Roman"/>
          <w:sz w:val="20"/>
          <w:szCs w:val="20"/>
          <w:lang w:val="pl-PL"/>
        </w:rPr>
      </w:pPr>
      <w:r w:rsidRPr="001572BA">
        <w:rPr>
          <w:rFonts w:ascii="Times New Roman" w:hAnsi="Times New Roman" w:cs="Times New Roman"/>
          <w:sz w:val="20"/>
          <w:szCs w:val="20"/>
          <w:lang w:val="pl-PL"/>
        </w:rPr>
        <w:t>Izabela Kaźmierczak-Kałużna, Wielodzietność po polsku – między nadzieją a poczuciem niemocy</w:t>
      </w:r>
      <w:r w:rsidR="00C025D9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1572BA">
        <w:rPr>
          <w:rFonts w:ascii="Times New Roman" w:hAnsi="Times New Roman" w:cs="Times New Roman"/>
          <w:sz w:val="20"/>
          <w:szCs w:val="20"/>
          <w:lang w:val="pl-PL"/>
        </w:rPr>
        <w:t>67</w:t>
      </w:r>
    </w:p>
    <w:p w:rsidR="00C025D9" w:rsidRDefault="00C025D9" w:rsidP="00C025D9">
      <w:pPr>
        <w:ind w:left="720" w:hanging="720"/>
        <w:rPr>
          <w:rFonts w:ascii="Times New Roman" w:hAnsi="Times New Roman" w:cs="Times New Roman"/>
          <w:sz w:val="20"/>
          <w:szCs w:val="20"/>
          <w:lang w:val="pl-PL"/>
        </w:rPr>
      </w:pPr>
    </w:p>
    <w:p w:rsidR="00C025D9" w:rsidRPr="001572BA" w:rsidRDefault="00C025D9" w:rsidP="00C025D9">
      <w:pPr>
        <w:ind w:left="720" w:hanging="720"/>
        <w:rPr>
          <w:rFonts w:ascii="Times New Roman" w:hAnsi="Times New Roman" w:cs="Times New Roman"/>
          <w:sz w:val="20"/>
          <w:szCs w:val="20"/>
          <w:lang w:val="pl-PL"/>
        </w:rPr>
      </w:pPr>
      <w:r w:rsidRPr="00C025D9">
        <w:rPr>
          <w:rFonts w:ascii="Times New Roman" w:hAnsi="Times New Roman" w:cs="Times New Roman"/>
          <w:b/>
          <w:sz w:val="20"/>
          <w:szCs w:val="20"/>
          <w:lang w:val="pl-PL"/>
        </w:rPr>
        <w:t>Część II. Konsekwencje transformacji – wybrane problemy i procesy  95</w:t>
      </w:r>
    </w:p>
    <w:p w:rsidR="001572BA" w:rsidRPr="001572BA" w:rsidRDefault="001572BA" w:rsidP="00C025D9">
      <w:pPr>
        <w:ind w:left="720" w:hanging="720"/>
        <w:rPr>
          <w:rFonts w:ascii="Times New Roman" w:hAnsi="Times New Roman" w:cs="Times New Roman"/>
          <w:sz w:val="20"/>
          <w:szCs w:val="20"/>
          <w:lang w:val="pl-PL"/>
        </w:rPr>
      </w:pPr>
      <w:r w:rsidRPr="001572BA">
        <w:rPr>
          <w:rFonts w:ascii="Times New Roman" w:hAnsi="Times New Roman" w:cs="Times New Roman"/>
          <w:sz w:val="20"/>
          <w:szCs w:val="20"/>
          <w:lang w:val="pl-PL"/>
        </w:rPr>
        <w:t>Marta Komorska, Zmarginalizowana młodość. Przyczyny zjawiska i możliwości przeciwdziałania w województwie lubelskim</w:t>
      </w:r>
      <w:r w:rsidR="00C025D9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1572BA">
        <w:rPr>
          <w:rFonts w:ascii="Times New Roman" w:hAnsi="Times New Roman" w:cs="Times New Roman"/>
          <w:sz w:val="20"/>
          <w:szCs w:val="20"/>
          <w:lang w:val="pl-PL"/>
        </w:rPr>
        <w:t>97</w:t>
      </w:r>
    </w:p>
    <w:p w:rsidR="001572BA" w:rsidRPr="001572BA" w:rsidRDefault="001572BA" w:rsidP="00C025D9">
      <w:pPr>
        <w:ind w:left="720" w:hanging="720"/>
        <w:rPr>
          <w:rFonts w:ascii="Times New Roman" w:hAnsi="Times New Roman" w:cs="Times New Roman"/>
          <w:sz w:val="20"/>
          <w:szCs w:val="20"/>
          <w:lang w:val="pl-PL"/>
        </w:rPr>
      </w:pPr>
      <w:r w:rsidRPr="001572BA">
        <w:rPr>
          <w:rFonts w:ascii="Times New Roman" w:hAnsi="Times New Roman" w:cs="Times New Roman"/>
          <w:sz w:val="20"/>
          <w:szCs w:val="20"/>
          <w:lang w:val="pl-PL"/>
        </w:rPr>
        <w:t xml:space="preserve">Lucyna </w:t>
      </w:r>
      <w:proofErr w:type="spellStart"/>
      <w:r w:rsidRPr="001572BA">
        <w:rPr>
          <w:rFonts w:ascii="Times New Roman" w:hAnsi="Times New Roman" w:cs="Times New Roman"/>
          <w:sz w:val="20"/>
          <w:szCs w:val="20"/>
          <w:lang w:val="pl-PL"/>
        </w:rPr>
        <w:t>Motylewicz</w:t>
      </w:r>
      <w:proofErr w:type="spellEnd"/>
      <w:r w:rsidRPr="001572BA">
        <w:rPr>
          <w:rFonts w:ascii="Times New Roman" w:hAnsi="Times New Roman" w:cs="Times New Roman"/>
          <w:sz w:val="20"/>
          <w:szCs w:val="20"/>
          <w:lang w:val="pl-PL"/>
        </w:rPr>
        <w:t>, Studenci łódzkich uczelni o emocjach towarzyszących przejściu z systemu edukacji na rynek pracy</w:t>
      </w:r>
      <w:r w:rsidR="00C025D9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1572BA">
        <w:rPr>
          <w:rFonts w:ascii="Times New Roman" w:hAnsi="Times New Roman" w:cs="Times New Roman"/>
          <w:sz w:val="20"/>
          <w:szCs w:val="20"/>
          <w:lang w:val="pl-PL"/>
        </w:rPr>
        <w:t>111</w:t>
      </w:r>
    </w:p>
    <w:p w:rsidR="001572BA" w:rsidRPr="001572BA" w:rsidRDefault="001572BA" w:rsidP="00C025D9">
      <w:pPr>
        <w:ind w:left="720" w:hanging="720"/>
        <w:rPr>
          <w:rFonts w:ascii="Times New Roman" w:hAnsi="Times New Roman" w:cs="Times New Roman"/>
          <w:sz w:val="20"/>
          <w:szCs w:val="20"/>
          <w:lang w:val="pl-PL"/>
        </w:rPr>
      </w:pPr>
      <w:r w:rsidRPr="001572BA">
        <w:rPr>
          <w:rFonts w:ascii="Times New Roman" w:hAnsi="Times New Roman" w:cs="Times New Roman"/>
          <w:sz w:val="20"/>
          <w:szCs w:val="20"/>
          <w:lang w:val="pl-PL"/>
        </w:rPr>
        <w:t>Anna Żelazna-Blicharz, Bezrobocie w rodzinie a problem dziedziczenia biedy</w:t>
      </w:r>
      <w:r w:rsidR="00C025D9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1572BA">
        <w:rPr>
          <w:rFonts w:ascii="Times New Roman" w:hAnsi="Times New Roman" w:cs="Times New Roman"/>
          <w:sz w:val="20"/>
          <w:szCs w:val="20"/>
          <w:lang w:val="pl-PL"/>
        </w:rPr>
        <w:t>127</w:t>
      </w:r>
    </w:p>
    <w:p w:rsidR="00DB0593" w:rsidRDefault="001572BA" w:rsidP="00C025D9">
      <w:pPr>
        <w:ind w:left="720" w:hanging="720"/>
        <w:rPr>
          <w:rFonts w:ascii="Times New Roman" w:hAnsi="Times New Roman" w:cs="Times New Roman"/>
          <w:sz w:val="20"/>
          <w:szCs w:val="20"/>
          <w:lang w:val="pl-PL"/>
        </w:rPr>
      </w:pPr>
      <w:r w:rsidRPr="001572BA">
        <w:rPr>
          <w:rFonts w:ascii="Times New Roman" w:hAnsi="Times New Roman" w:cs="Times New Roman"/>
          <w:sz w:val="20"/>
          <w:szCs w:val="20"/>
          <w:lang w:val="pl-PL"/>
        </w:rPr>
        <w:t>Krystyna Leśniak-</w:t>
      </w:r>
      <w:proofErr w:type="spellStart"/>
      <w:r w:rsidRPr="001572BA">
        <w:rPr>
          <w:rFonts w:ascii="Times New Roman" w:hAnsi="Times New Roman" w:cs="Times New Roman"/>
          <w:sz w:val="20"/>
          <w:szCs w:val="20"/>
          <w:lang w:val="pl-PL"/>
        </w:rPr>
        <w:t>Moczuk</w:t>
      </w:r>
      <w:proofErr w:type="spellEnd"/>
      <w:r w:rsidRPr="001572BA">
        <w:rPr>
          <w:rFonts w:ascii="Times New Roman" w:hAnsi="Times New Roman" w:cs="Times New Roman"/>
          <w:sz w:val="20"/>
          <w:szCs w:val="20"/>
          <w:lang w:val="pl-PL"/>
        </w:rPr>
        <w:t>, Wieś współczesna w tyglu przemian społeczno-ekonomicznych  141</w:t>
      </w:r>
    </w:p>
    <w:p w:rsidR="00C025D9" w:rsidRDefault="00C025D9" w:rsidP="00C025D9">
      <w:pPr>
        <w:ind w:left="720" w:hanging="720"/>
        <w:rPr>
          <w:rFonts w:ascii="Times New Roman" w:hAnsi="Times New Roman" w:cs="Times New Roman"/>
          <w:sz w:val="20"/>
          <w:szCs w:val="20"/>
          <w:lang w:val="pl-PL"/>
        </w:rPr>
      </w:pPr>
    </w:p>
    <w:p w:rsidR="00C025D9" w:rsidRPr="001572BA" w:rsidRDefault="00C025D9" w:rsidP="00C025D9">
      <w:pPr>
        <w:ind w:left="720" w:hanging="720"/>
        <w:rPr>
          <w:rFonts w:ascii="Times New Roman" w:hAnsi="Times New Roman" w:cs="Times New Roman"/>
          <w:sz w:val="20"/>
          <w:szCs w:val="20"/>
          <w:lang w:val="pl-PL"/>
        </w:rPr>
      </w:pPr>
      <w:r w:rsidRPr="00C025D9">
        <w:rPr>
          <w:rFonts w:ascii="Times New Roman" w:hAnsi="Times New Roman" w:cs="Times New Roman"/>
          <w:b/>
          <w:sz w:val="20"/>
          <w:szCs w:val="20"/>
          <w:lang w:val="pl-PL"/>
        </w:rPr>
        <w:t>Część III. Doświadczanie sportu przez współczesnych Polaków  159</w:t>
      </w:r>
    </w:p>
    <w:p w:rsidR="001572BA" w:rsidRPr="001572BA" w:rsidRDefault="001572BA" w:rsidP="00C025D9">
      <w:pPr>
        <w:ind w:left="720" w:hanging="720"/>
        <w:rPr>
          <w:rFonts w:ascii="Times New Roman" w:hAnsi="Times New Roman" w:cs="Times New Roman"/>
          <w:sz w:val="20"/>
          <w:szCs w:val="20"/>
          <w:lang w:val="pl-PL"/>
        </w:rPr>
      </w:pPr>
      <w:r w:rsidRPr="001572BA">
        <w:rPr>
          <w:rFonts w:ascii="Times New Roman" w:hAnsi="Times New Roman" w:cs="Times New Roman"/>
          <w:sz w:val="20"/>
          <w:szCs w:val="20"/>
          <w:lang w:val="pl-PL"/>
        </w:rPr>
        <w:t>Radosław Kossakowski, Wielowymiarowa kultura „post-</w:t>
      </w:r>
      <w:proofErr w:type="spellStart"/>
      <w:r w:rsidRPr="001572BA">
        <w:rPr>
          <w:rFonts w:ascii="Times New Roman" w:hAnsi="Times New Roman" w:cs="Times New Roman"/>
          <w:sz w:val="20"/>
          <w:szCs w:val="20"/>
          <w:lang w:val="pl-PL"/>
        </w:rPr>
        <w:t>hooligańska</w:t>
      </w:r>
      <w:proofErr w:type="spellEnd"/>
      <w:r w:rsidRPr="001572BA">
        <w:rPr>
          <w:rFonts w:ascii="Times New Roman" w:hAnsi="Times New Roman" w:cs="Times New Roman"/>
          <w:sz w:val="20"/>
          <w:szCs w:val="20"/>
          <w:lang w:val="pl-PL"/>
        </w:rPr>
        <w:t>”? W poszukiwaniu tożsamości ruchu kibicowskiego</w:t>
      </w:r>
      <w:r w:rsidR="00C025D9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1572BA">
        <w:rPr>
          <w:rFonts w:ascii="Times New Roman" w:hAnsi="Times New Roman" w:cs="Times New Roman"/>
          <w:sz w:val="20"/>
          <w:szCs w:val="20"/>
          <w:lang w:val="pl-PL"/>
        </w:rPr>
        <w:t>161</w:t>
      </w:r>
    </w:p>
    <w:p w:rsidR="001572BA" w:rsidRPr="001572BA" w:rsidRDefault="001572BA" w:rsidP="00C025D9">
      <w:pPr>
        <w:ind w:left="720" w:hanging="720"/>
        <w:rPr>
          <w:rFonts w:ascii="Times New Roman" w:hAnsi="Times New Roman" w:cs="Times New Roman"/>
          <w:sz w:val="20"/>
          <w:szCs w:val="20"/>
          <w:lang w:val="pl-PL"/>
        </w:rPr>
      </w:pPr>
      <w:r w:rsidRPr="001572BA">
        <w:rPr>
          <w:rFonts w:ascii="Times New Roman" w:hAnsi="Times New Roman" w:cs="Times New Roman"/>
          <w:sz w:val="20"/>
          <w:szCs w:val="20"/>
          <w:lang w:val="pl-PL"/>
        </w:rPr>
        <w:t>Jakub Ryszard Stempień, Egalitaryzm sportu amatorskiego? Przykład polskiego ruchu biegowego</w:t>
      </w:r>
      <w:r w:rsidR="00C025D9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1572BA">
        <w:rPr>
          <w:rFonts w:ascii="Times New Roman" w:hAnsi="Times New Roman" w:cs="Times New Roman"/>
          <w:sz w:val="20"/>
          <w:szCs w:val="20"/>
          <w:lang w:val="pl-PL"/>
        </w:rPr>
        <w:t>183</w:t>
      </w:r>
    </w:p>
    <w:p w:rsidR="00DB0593" w:rsidRDefault="001572BA" w:rsidP="00C025D9">
      <w:pPr>
        <w:ind w:left="720" w:hanging="720"/>
        <w:rPr>
          <w:rFonts w:ascii="Times New Roman" w:hAnsi="Times New Roman" w:cs="Times New Roman"/>
          <w:sz w:val="20"/>
          <w:szCs w:val="20"/>
          <w:lang w:val="pl-PL"/>
        </w:rPr>
      </w:pPr>
      <w:r w:rsidRPr="001572BA">
        <w:rPr>
          <w:rFonts w:ascii="Times New Roman" w:hAnsi="Times New Roman" w:cs="Times New Roman"/>
          <w:sz w:val="20"/>
          <w:szCs w:val="20"/>
          <w:lang w:val="pl-PL"/>
        </w:rPr>
        <w:t xml:space="preserve">Jakub </w:t>
      </w:r>
      <w:proofErr w:type="spellStart"/>
      <w:r w:rsidRPr="001572BA">
        <w:rPr>
          <w:rFonts w:ascii="Times New Roman" w:hAnsi="Times New Roman" w:cs="Times New Roman"/>
          <w:sz w:val="20"/>
          <w:szCs w:val="20"/>
          <w:lang w:val="pl-PL"/>
        </w:rPr>
        <w:t>Niedbalski</w:t>
      </w:r>
      <w:proofErr w:type="spellEnd"/>
      <w:r w:rsidRPr="001572BA">
        <w:rPr>
          <w:rFonts w:ascii="Times New Roman" w:hAnsi="Times New Roman" w:cs="Times New Roman"/>
          <w:sz w:val="20"/>
          <w:szCs w:val="20"/>
          <w:lang w:val="pl-PL"/>
        </w:rPr>
        <w:t>, „Ci wspaniali ludzie zmagają się z losem” – niepełnosprawni sportowcy w krzywym zwierciadle życia społecznego</w:t>
      </w:r>
      <w:r w:rsidR="00C025D9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1572BA">
        <w:rPr>
          <w:rFonts w:ascii="Times New Roman" w:hAnsi="Times New Roman" w:cs="Times New Roman"/>
          <w:sz w:val="20"/>
          <w:szCs w:val="20"/>
          <w:lang w:val="pl-PL"/>
        </w:rPr>
        <w:t>201</w:t>
      </w:r>
    </w:p>
    <w:p w:rsidR="00C025D9" w:rsidRDefault="00C025D9" w:rsidP="00C025D9">
      <w:pPr>
        <w:ind w:left="720" w:hanging="720"/>
        <w:rPr>
          <w:rFonts w:ascii="Times New Roman" w:hAnsi="Times New Roman" w:cs="Times New Roman"/>
          <w:sz w:val="20"/>
          <w:szCs w:val="20"/>
          <w:lang w:val="pl-PL"/>
        </w:rPr>
      </w:pPr>
    </w:p>
    <w:p w:rsidR="00C025D9" w:rsidRPr="001572BA" w:rsidRDefault="00C025D9" w:rsidP="00C025D9">
      <w:pPr>
        <w:ind w:left="720" w:hanging="720"/>
        <w:rPr>
          <w:rFonts w:ascii="Times New Roman" w:hAnsi="Times New Roman" w:cs="Times New Roman"/>
          <w:sz w:val="20"/>
          <w:szCs w:val="20"/>
          <w:lang w:val="pl-PL"/>
        </w:rPr>
      </w:pPr>
      <w:r w:rsidRPr="00C025D9">
        <w:rPr>
          <w:rFonts w:ascii="Times New Roman" w:hAnsi="Times New Roman" w:cs="Times New Roman"/>
          <w:b/>
          <w:sz w:val="20"/>
          <w:szCs w:val="20"/>
          <w:lang w:val="pl-PL"/>
        </w:rPr>
        <w:t>Część IV. Badanie zjawisk społecznych – wybrane aspekty  219</w:t>
      </w:r>
    </w:p>
    <w:p w:rsidR="001572BA" w:rsidRPr="001572BA" w:rsidRDefault="001572BA" w:rsidP="00C025D9">
      <w:pPr>
        <w:ind w:left="720" w:hanging="720"/>
        <w:rPr>
          <w:rFonts w:ascii="Times New Roman" w:hAnsi="Times New Roman" w:cs="Times New Roman"/>
          <w:sz w:val="20"/>
          <w:szCs w:val="20"/>
          <w:lang w:val="pl-PL"/>
        </w:rPr>
      </w:pPr>
      <w:r w:rsidRPr="001572BA">
        <w:rPr>
          <w:rFonts w:ascii="Times New Roman" w:hAnsi="Times New Roman" w:cs="Times New Roman"/>
          <w:sz w:val="20"/>
          <w:szCs w:val="20"/>
          <w:lang w:val="pl-PL"/>
        </w:rPr>
        <w:t xml:space="preserve">Monika Sas-Tomczyk, Zastosowanie metody </w:t>
      </w:r>
      <w:proofErr w:type="spellStart"/>
      <w:r w:rsidRPr="001572BA">
        <w:rPr>
          <w:rFonts w:ascii="Times New Roman" w:hAnsi="Times New Roman" w:cs="Times New Roman"/>
          <w:sz w:val="20"/>
          <w:szCs w:val="20"/>
          <w:lang w:val="pl-PL"/>
        </w:rPr>
        <w:t>Social</w:t>
      </w:r>
      <w:proofErr w:type="spellEnd"/>
      <w:r w:rsidRPr="001572BA">
        <w:rPr>
          <w:rFonts w:ascii="Times New Roman" w:hAnsi="Times New Roman" w:cs="Times New Roman"/>
          <w:sz w:val="20"/>
          <w:szCs w:val="20"/>
          <w:lang w:val="pl-PL"/>
        </w:rPr>
        <w:t xml:space="preserve"> Network Analysis w badaniach społecznych</w:t>
      </w:r>
      <w:r w:rsidR="00C025D9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1572BA">
        <w:rPr>
          <w:rFonts w:ascii="Times New Roman" w:hAnsi="Times New Roman" w:cs="Times New Roman"/>
          <w:sz w:val="20"/>
          <w:szCs w:val="20"/>
          <w:lang w:val="pl-PL"/>
        </w:rPr>
        <w:t>221</w:t>
      </w:r>
    </w:p>
    <w:p w:rsidR="00DB0593" w:rsidRDefault="001572BA" w:rsidP="00C025D9">
      <w:pPr>
        <w:ind w:left="720" w:hanging="720"/>
        <w:rPr>
          <w:rFonts w:ascii="Times New Roman" w:hAnsi="Times New Roman" w:cs="Times New Roman"/>
          <w:sz w:val="20"/>
          <w:szCs w:val="20"/>
          <w:lang w:val="pl-PL"/>
        </w:rPr>
      </w:pPr>
      <w:r w:rsidRPr="001572BA">
        <w:rPr>
          <w:rFonts w:ascii="Times New Roman" w:hAnsi="Times New Roman" w:cs="Times New Roman"/>
          <w:sz w:val="20"/>
          <w:szCs w:val="20"/>
          <w:lang w:val="pl-PL"/>
        </w:rPr>
        <w:t>Izabela Ślęzak, Zjawisko prostytucji w praktyce badań jakościowych</w:t>
      </w:r>
      <w:r w:rsidR="00C025D9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1572BA">
        <w:rPr>
          <w:rFonts w:ascii="Times New Roman" w:hAnsi="Times New Roman" w:cs="Times New Roman"/>
          <w:sz w:val="20"/>
          <w:szCs w:val="20"/>
          <w:lang w:val="pl-PL"/>
        </w:rPr>
        <w:t>235</w:t>
      </w:r>
    </w:p>
    <w:p w:rsidR="00C025D9" w:rsidRDefault="00C025D9" w:rsidP="00C025D9">
      <w:pPr>
        <w:ind w:left="720" w:hanging="720"/>
        <w:rPr>
          <w:rFonts w:ascii="Times New Roman" w:hAnsi="Times New Roman" w:cs="Times New Roman"/>
          <w:sz w:val="20"/>
          <w:szCs w:val="20"/>
          <w:lang w:val="pl-PL"/>
        </w:rPr>
      </w:pPr>
    </w:p>
    <w:p w:rsidR="00C025D9" w:rsidRPr="001572BA" w:rsidRDefault="00C025D9" w:rsidP="00C025D9">
      <w:pPr>
        <w:ind w:left="720" w:hanging="720"/>
        <w:rPr>
          <w:rFonts w:ascii="Times New Roman" w:hAnsi="Times New Roman" w:cs="Times New Roman"/>
          <w:sz w:val="20"/>
          <w:szCs w:val="20"/>
          <w:lang w:val="pl-PL"/>
        </w:rPr>
      </w:pPr>
      <w:r w:rsidRPr="00C025D9">
        <w:rPr>
          <w:rFonts w:ascii="Times New Roman" w:hAnsi="Times New Roman" w:cs="Times New Roman"/>
          <w:b/>
          <w:sz w:val="20"/>
          <w:szCs w:val="20"/>
          <w:lang w:val="pl-PL"/>
        </w:rPr>
        <w:t>Noty o autorach  257</w:t>
      </w:r>
      <w:bookmarkStart w:id="0" w:name="_GoBack"/>
      <w:bookmarkEnd w:id="0"/>
    </w:p>
    <w:sectPr w:rsidR="00C025D9" w:rsidRPr="001572BA" w:rsidSect="001572BA">
      <w:type w:val="continuous"/>
      <w:pgSz w:w="9525" w:h="13620"/>
      <w:pgMar w:top="1260" w:right="920" w:bottom="280" w:left="1260" w:header="708" w:footer="708" w:gutter="0"/>
      <w:cols w:space="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0593"/>
    <w:rsid w:val="001572BA"/>
    <w:rsid w:val="00C025D9"/>
    <w:rsid w:val="00D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0"/>
    </w:pPr>
    <w:rPr>
      <w:rFonts w:ascii="Times New Roman" w:eastAsia="Times New Roman" w:hAnsi="Times New Roman"/>
      <w:sz w:val="18"/>
      <w:szCs w:val="18"/>
      <w:u w:val="single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BB742F84</Template>
  <TotalTime>7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4</cp:revision>
  <dcterms:created xsi:type="dcterms:W3CDTF">2015-07-02T14:53:00Z</dcterms:created>
  <dcterms:modified xsi:type="dcterms:W3CDTF">2015-07-02T13:02:00Z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2015-07-02T00:00:00Z</vt:filetime>
  </property>
</Properties>
</file>