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6C" w:rsidRPr="006C1E70" w:rsidRDefault="006C1E70" w:rsidP="006C1E70">
      <w:pPr>
        <w:pStyle w:val="Tekstpodstawowy"/>
        <w:tabs>
          <w:tab w:val="right" w:pos="7253"/>
        </w:tabs>
        <w:rPr>
          <w:rFonts w:ascii="Cambria" w:hAnsi="Cambria"/>
          <w:sz w:val="20"/>
          <w:szCs w:val="20"/>
        </w:rPr>
      </w:pPr>
      <w:proofErr w:type="spellStart"/>
      <w:r w:rsidRPr="006C1E70">
        <w:rPr>
          <w:rFonts w:ascii="Cambria" w:hAnsi="Cambria"/>
          <w:color w:val="231F20"/>
          <w:sz w:val="20"/>
          <w:szCs w:val="20"/>
        </w:rPr>
        <w:t>Wprowadzenie</w:t>
      </w:r>
      <w:proofErr w:type="spellEnd"/>
      <w:r w:rsidRPr="006C1E70">
        <w:rPr>
          <w:rFonts w:ascii="Cambria" w:hAnsi="Cambria"/>
          <w:color w:val="231F20"/>
          <w:sz w:val="20"/>
          <w:szCs w:val="20"/>
        </w:rPr>
        <w:t xml:space="preserve">    </w:t>
      </w:r>
      <w:r w:rsidRPr="006C1E70">
        <w:rPr>
          <w:rFonts w:ascii="Cambria" w:hAnsi="Cambria"/>
          <w:color w:val="231F20"/>
          <w:sz w:val="20"/>
          <w:szCs w:val="20"/>
        </w:rPr>
        <w:t>9</w:t>
      </w:r>
    </w:p>
    <w:p w:rsidR="005D646C" w:rsidRPr="006C1E70" w:rsidRDefault="006C1E70" w:rsidP="006C1E70">
      <w:pPr>
        <w:pStyle w:val="Tekstpodstawowy"/>
        <w:numPr>
          <w:ilvl w:val="0"/>
          <w:numId w:val="8"/>
        </w:numPr>
        <w:tabs>
          <w:tab w:val="left" w:pos="395"/>
          <w:tab w:val="right" w:pos="7253"/>
        </w:tabs>
        <w:rPr>
          <w:rFonts w:ascii="Cambria" w:hAnsi="Cambria"/>
          <w:sz w:val="20"/>
          <w:szCs w:val="20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Problematyka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struktura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pracy.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Cele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pytania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badawcze    </w:t>
      </w:r>
      <w:r w:rsidRPr="006C1E70">
        <w:rPr>
          <w:rFonts w:ascii="Cambria" w:hAnsi="Cambria"/>
          <w:color w:val="231F20"/>
          <w:sz w:val="20"/>
          <w:szCs w:val="20"/>
        </w:rPr>
        <w:t>9</w:t>
      </w:r>
    </w:p>
    <w:p w:rsidR="005D646C" w:rsidRPr="006C1E70" w:rsidRDefault="006C1E70" w:rsidP="006C1E70">
      <w:pPr>
        <w:pStyle w:val="Tekstpodstawowy"/>
        <w:numPr>
          <w:ilvl w:val="0"/>
          <w:numId w:val="8"/>
        </w:numPr>
        <w:tabs>
          <w:tab w:val="left" w:pos="395"/>
          <w:tab w:val="right" w:pos="7253"/>
        </w:tabs>
        <w:ind w:right="108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Pojęcia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wykorzystane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w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pracy.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Problemy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definicyjne,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przegląd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literatury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przedmiotu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15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</w:rPr>
      </w:pPr>
    </w:p>
    <w:p w:rsidR="005D646C" w:rsidRPr="006C1E70" w:rsidRDefault="006C1E70" w:rsidP="006C1E70">
      <w:pPr>
        <w:pStyle w:val="Tekstpodstawowy"/>
        <w:rPr>
          <w:rFonts w:ascii="Cambria" w:hAnsi="Cambria" w:cs="Arial Unicode MS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CZĘŚĆ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I.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AUTOBIOGRAFICZNA.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DZIECIŃSTWO,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DOM,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SZKOŁA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27</w:t>
      </w:r>
    </w:p>
    <w:p w:rsidR="005D646C" w:rsidRPr="006C1E70" w:rsidRDefault="005D646C" w:rsidP="006C1E70">
      <w:pPr>
        <w:rPr>
          <w:rFonts w:ascii="Cambria" w:eastAsia="Arial Unicode MS" w:hAnsi="Cambria" w:cs="Arial Unicode MS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Nauczyciele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wobec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wojennego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Łodzi.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Badania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eksploratorskie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2006/2007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33</w:t>
      </w:r>
    </w:p>
    <w:p w:rsidR="005D646C" w:rsidRPr="006C1E70" w:rsidRDefault="006C1E70" w:rsidP="006C1E70">
      <w:pPr>
        <w:pStyle w:val="Tekstpodstawowy"/>
        <w:numPr>
          <w:ilvl w:val="1"/>
          <w:numId w:val="7"/>
        </w:numPr>
        <w:tabs>
          <w:tab w:val="left" w:pos="508"/>
          <w:tab w:val="right" w:pos="7253"/>
        </w:tabs>
        <w:rPr>
          <w:rFonts w:ascii="Cambria" w:hAnsi="Cambria"/>
          <w:sz w:val="20"/>
          <w:szCs w:val="20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Początek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pracy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nad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pamięcią.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Punkt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wyjścia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–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stan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wojenny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</w:rPr>
        <w:t>33</w:t>
      </w:r>
    </w:p>
    <w:p w:rsidR="005D646C" w:rsidRPr="006C1E70" w:rsidRDefault="006C1E70" w:rsidP="006C1E70">
      <w:pPr>
        <w:pStyle w:val="Tekstpodstawowy"/>
        <w:numPr>
          <w:ilvl w:val="1"/>
          <w:numId w:val="7"/>
        </w:numPr>
        <w:tabs>
          <w:tab w:val="left" w:pos="508"/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Historyczne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tło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wydarzeń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związanych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stanem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wojennym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Łodzi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36</w:t>
      </w:r>
    </w:p>
    <w:p w:rsidR="005D646C" w:rsidRPr="006C1E70" w:rsidRDefault="006C1E70" w:rsidP="006C1E70">
      <w:pPr>
        <w:pStyle w:val="Tekstpodstawowy"/>
        <w:numPr>
          <w:ilvl w:val="1"/>
          <w:numId w:val="7"/>
        </w:numPr>
        <w:tabs>
          <w:tab w:val="left" w:pos="508"/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Założenia,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hipotezy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metoda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badawcza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badań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eksploratorskich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40</w:t>
      </w:r>
    </w:p>
    <w:p w:rsidR="005D646C" w:rsidRPr="006C1E70" w:rsidRDefault="006C1E70" w:rsidP="006C1E70">
      <w:pPr>
        <w:pStyle w:val="Tekstpodstawowy"/>
        <w:numPr>
          <w:ilvl w:val="1"/>
          <w:numId w:val="7"/>
        </w:numPr>
        <w:tabs>
          <w:tab w:val="left" w:pos="508"/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Wyniki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badań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eksploratorskich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z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lat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2006–2007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próba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ich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inter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pretacji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43</w:t>
      </w:r>
    </w:p>
    <w:p w:rsidR="005D646C" w:rsidRPr="006C1E70" w:rsidRDefault="006C1E70" w:rsidP="006C1E70">
      <w:pPr>
        <w:pStyle w:val="Tekstpodstawowy"/>
        <w:numPr>
          <w:ilvl w:val="1"/>
          <w:numId w:val="7"/>
        </w:numPr>
        <w:tabs>
          <w:tab w:val="left" w:pos="508"/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Wnioski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przeprowadzonych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badań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eksploratorskich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50</w:t>
      </w:r>
    </w:p>
    <w:p w:rsidR="005D646C" w:rsidRPr="006C1E70" w:rsidRDefault="006C1E70" w:rsidP="006C1E70">
      <w:pPr>
        <w:pStyle w:val="Tekstpodstawowy"/>
        <w:numPr>
          <w:ilvl w:val="1"/>
          <w:numId w:val="7"/>
        </w:numPr>
        <w:tabs>
          <w:tab w:val="left" w:pos="508"/>
          <w:tab w:val="right" w:pos="7253"/>
        </w:tabs>
        <w:ind w:right="108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Pytania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o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dalszy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kierunek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badań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ich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przebieg,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problemy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pytania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badawcze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51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</w:rPr>
      </w:pPr>
      <w:proofErr w:type="spellStart"/>
      <w:r w:rsidRPr="006C1E70">
        <w:rPr>
          <w:rFonts w:ascii="Cambria" w:hAnsi="Cambria"/>
          <w:color w:val="231F20"/>
          <w:sz w:val="20"/>
          <w:szCs w:val="20"/>
        </w:rPr>
        <w:t>Rozdział</w:t>
      </w:r>
      <w:proofErr w:type="spellEnd"/>
      <w:r w:rsidRPr="006C1E70">
        <w:rPr>
          <w:rFonts w:ascii="Cambria" w:hAnsi="Cambria"/>
          <w:color w:val="231F20"/>
          <w:sz w:val="20"/>
          <w:szCs w:val="20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</w:rPr>
        <w:t>2</w:t>
      </w:r>
      <w:r>
        <w:rPr>
          <w:rFonts w:ascii="Cambria" w:hAnsi="Cambria"/>
          <w:color w:val="231F20"/>
          <w:sz w:val="20"/>
          <w:szCs w:val="20"/>
        </w:rPr>
        <w:t xml:space="preserve">. </w:t>
      </w:r>
      <w:proofErr w:type="spellStart"/>
      <w:r w:rsidRPr="006C1E70">
        <w:rPr>
          <w:rFonts w:ascii="Cambria" w:hAnsi="Cambria"/>
          <w:color w:val="231F20"/>
          <w:sz w:val="20"/>
          <w:szCs w:val="20"/>
        </w:rPr>
        <w:t>Dzieciństwo</w:t>
      </w:r>
      <w:proofErr w:type="spellEnd"/>
      <w:r w:rsidRPr="006C1E70">
        <w:rPr>
          <w:rFonts w:ascii="Cambria" w:hAnsi="Cambria"/>
          <w:color w:val="231F20"/>
          <w:sz w:val="20"/>
          <w:szCs w:val="20"/>
        </w:rPr>
        <w:t>,</w:t>
      </w:r>
      <w:r w:rsidRPr="006C1E7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6C1E70">
        <w:rPr>
          <w:rFonts w:ascii="Cambria" w:hAnsi="Cambria"/>
          <w:color w:val="231F20"/>
          <w:sz w:val="20"/>
          <w:szCs w:val="20"/>
        </w:rPr>
        <w:t>młodość</w:t>
      </w:r>
      <w:proofErr w:type="spellEnd"/>
      <w:r w:rsidRPr="006C1E70">
        <w:rPr>
          <w:rFonts w:ascii="Cambria" w:hAnsi="Cambria"/>
          <w:color w:val="231F20"/>
          <w:sz w:val="20"/>
          <w:szCs w:val="20"/>
        </w:rPr>
        <w:t>,</w:t>
      </w:r>
      <w:r w:rsidRPr="006C1E7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6C1E70">
        <w:rPr>
          <w:rFonts w:ascii="Cambria" w:hAnsi="Cambria"/>
          <w:color w:val="231F20"/>
          <w:sz w:val="20"/>
          <w:szCs w:val="20"/>
        </w:rPr>
        <w:t>tęsknota</w:t>
      </w:r>
      <w:proofErr w:type="spellEnd"/>
      <w:r w:rsidRPr="006C1E70">
        <w:rPr>
          <w:rFonts w:ascii="Cambria" w:hAnsi="Cambria"/>
          <w:color w:val="231F20"/>
          <w:sz w:val="20"/>
          <w:szCs w:val="20"/>
        </w:rPr>
        <w:t xml:space="preserve">    </w:t>
      </w:r>
      <w:r w:rsidRPr="006C1E70">
        <w:rPr>
          <w:rFonts w:ascii="Cambria" w:hAnsi="Cambria"/>
          <w:color w:val="231F20"/>
          <w:sz w:val="20"/>
          <w:szCs w:val="20"/>
        </w:rPr>
        <w:t>55</w:t>
      </w:r>
    </w:p>
    <w:p w:rsidR="005D646C" w:rsidRPr="006C1E70" w:rsidRDefault="006C1E70" w:rsidP="006C1E70">
      <w:pPr>
        <w:pStyle w:val="Tekstpodstawowy"/>
        <w:numPr>
          <w:ilvl w:val="1"/>
          <w:numId w:val="6"/>
        </w:numPr>
        <w:tabs>
          <w:tab w:val="left" w:pos="508"/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Formy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pamięci,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autobiograficzna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tożsamość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narracyjna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55</w:t>
      </w:r>
    </w:p>
    <w:p w:rsidR="005D646C" w:rsidRPr="006C1E70" w:rsidRDefault="006C1E70" w:rsidP="006C1E70">
      <w:pPr>
        <w:pStyle w:val="Tekstpodstawowy"/>
        <w:numPr>
          <w:ilvl w:val="1"/>
          <w:numId w:val="6"/>
        </w:numPr>
        <w:tabs>
          <w:tab w:val="left" w:pos="508"/>
          <w:tab w:val="left" w:pos="3565"/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Literatura,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postawa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proofErr w:type="spellStart"/>
      <w:r w:rsidRPr="006C1E70">
        <w:rPr>
          <w:rFonts w:ascii="Cambria" w:hAnsi="Cambria"/>
          <w:color w:val="231F20"/>
          <w:sz w:val="20"/>
          <w:szCs w:val="20"/>
          <w:lang w:val="pl-PL"/>
        </w:rPr>
        <w:t>autobiogra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fi</w:t>
      </w:r>
      <w:proofErr w:type="spellEnd"/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wewnętrzny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wzrok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pałace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pamięci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72</w:t>
      </w:r>
    </w:p>
    <w:p w:rsidR="005D646C" w:rsidRPr="006C1E70" w:rsidRDefault="006C1E70" w:rsidP="006C1E70">
      <w:pPr>
        <w:pStyle w:val="Tekstpodstawowy"/>
        <w:tabs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2.3.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Świat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powtórzony,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nostalgia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dzieciństwo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83</w:t>
      </w: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2.4.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tęsknią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Polacy?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dzieciństwem,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dobrobytem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bezpieczeń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stwem?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94</w:t>
      </w:r>
    </w:p>
    <w:p w:rsidR="005D646C" w:rsidRPr="006C1E70" w:rsidRDefault="006C1E70" w:rsidP="006C1E70">
      <w:pPr>
        <w:pStyle w:val="Tekstpodstawowy"/>
        <w:tabs>
          <w:tab w:val="right" w:pos="7253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2.5.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Odległy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świat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(nie)szczęśliwego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dzieciństwa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97</w:t>
      </w:r>
    </w:p>
    <w:p w:rsidR="005D646C" w:rsidRDefault="006C1E70" w:rsidP="006C1E70">
      <w:pPr>
        <w:pStyle w:val="Tekstpodstawowy"/>
        <w:tabs>
          <w:tab w:val="right" w:pos="7253"/>
        </w:tabs>
        <w:rPr>
          <w:rFonts w:ascii="Cambria" w:hAnsi="Cambria"/>
          <w:color w:val="231F20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2.6.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autobiograficzna,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trauma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trajektoria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143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Dom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stalinowska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szkoła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151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3.1.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Dom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wartości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151</w:t>
      </w:r>
    </w:p>
    <w:p w:rsidR="005D646C" w:rsidRPr="006C1E70" w:rsidRDefault="006C1E70" w:rsidP="006C1E70">
      <w:pPr>
        <w:pStyle w:val="Tekstpodstawowy"/>
        <w:numPr>
          <w:ilvl w:val="1"/>
          <w:numId w:val="5"/>
        </w:numPr>
        <w:tabs>
          <w:tab w:val="left" w:pos="508"/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Ketman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i/>
          <w:color w:val="231F20"/>
          <w:sz w:val="20"/>
          <w:szCs w:val="20"/>
          <w:lang w:val="pl-PL"/>
        </w:rPr>
        <w:t>Nowej</w:t>
      </w:r>
      <w:r w:rsidRPr="006C1E70">
        <w:rPr>
          <w:rFonts w:ascii="Cambria" w:hAnsi="Cambria"/>
          <w:i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i/>
          <w:color w:val="231F20"/>
          <w:sz w:val="20"/>
          <w:szCs w:val="20"/>
          <w:lang w:val="pl-PL"/>
        </w:rPr>
        <w:t>Wiary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przemilczenie,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strach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opresyjność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systemu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193</w:t>
      </w:r>
    </w:p>
    <w:p w:rsidR="005D646C" w:rsidRPr="006C1E70" w:rsidRDefault="006C1E70" w:rsidP="006C1E70">
      <w:pPr>
        <w:pStyle w:val="Tekstpodstawowy"/>
        <w:numPr>
          <w:ilvl w:val="1"/>
          <w:numId w:val="5"/>
        </w:numPr>
        <w:tabs>
          <w:tab w:val="left" w:pos="508"/>
        </w:tabs>
        <w:rPr>
          <w:rFonts w:ascii="Cambria" w:hAnsi="Cambria"/>
          <w:sz w:val="20"/>
          <w:szCs w:val="20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Zasady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ketmanu,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indoktrynacja,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przymus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straszni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nauczyciele,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czyli </w:t>
      </w:r>
      <w:bookmarkStart w:id="0" w:name="_GoBack"/>
      <w:bookmarkEnd w:id="0"/>
      <w:r w:rsidRPr="006C1E70">
        <w:rPr>
          <w:rFonts w:ascii="Cambria" w:eastAsia="Calibri" w:hAnsi="Cambria" w:cs="Calibri"/>
          <w:color w:val="231F20"/>
          <w:sz w:val="20"/>
          <w:szCs w:val="20"/>
        </w:rPr>
        <w:t>„to</w:t>
      </w:r>
      <w:r w:rsidRPr="006C1E70">
        <w:rPr>
          <w:rFonts w:ascii="Cambria" w:eastAsia="Calibri" w:hAnsi="Cambria" w:cs="Calibri"/>
          <w:color w:val="231F20"/>
          <w:sz w:val="20"/>
          <w:szCs w:val="20"/>
        </w:rPr>
        <w:t xml:space="preserve"> </w:t>
      </w:r>
      <w:proofErr w:type="spellStart"/>
      <w:r w:rsidRPr="006C1E70">
        <w:rPr>
          <w:rFonts w:ascii="Cambria" w:eastAsia="Calibri" w:hAnsi="Cambria" w:cs="Calibri"/>
          <w:color w:val="231F20"/>
          <w:sz w:val="20"/>
          <w:szCs w:val="20"/>
        </w:rPr>
        <w:t>były</w:t>
      </w:r>
      <w:proofErr w:type="spellEnd"/>
      <w:r w:rsidRPr="006C1E70">
        <w:rPr>
          <w:rFonts w:ascii="Cambria" w:eastAsia="Calibri" w:hAnsi="Cambria" w:cs="Calibri"/>
          <w:color w:val="231F20"/>
          <w:sz w:val="20"/>
          <w:szCs w:val="20"/>
        </w:rPr>
        <w:t xml:space="preserve"> </w:t>
      </w:r>
      <w:proofErr w:type="spellStart"/>
      <w:r w:rsidRPr="006C1E70">
        <w:rPr>
          <w:rFonts w:ascii="Cambria" w:eastAsia="Calibri" w:hAnsi="Cambria" w:cs="Calibri"/>
          <w:color w:val="231F20"/>
          <w:sz w:val="20"/>
          <w:szCs w:val="20"/>
        </w:rPr>
        <w:t>takie</w:t>
      </w:r>
      <w:proofErr w:type="spellEnd"/>
      <w:r w:rsidRPr="006C1E70">
        <w:rPr>
          <w:rFonts w:ascii="Cambria" w:eastAsia="Calibri" w:hAnsi="Cambria" w:cs="Calibri"/>
          <w:color w:val="231F20"/>
          <w:sz w:val="20"/>
          <w:szCs w:val="20"/>
        </w:rPr>
        <w:t xml:space="preserve"> </w:t>
      </w:r>
      <w:proofErr w:type="spellStart"/>
      <w:r w:rsidRPr="006C1E70">
        <w:rPr>
          <w:rFonts w:ascii="Cambria" w:eastAsia="Calibri" w:hAnsi="Cambria" w:cs="Calibri"/>
          <w:color w:val="231F20"/>
          <w:sz w:val="20"/>
          <w:szCs w:val="20"/>
        </w:rPr>
        <w:t>czasy</w:t>
      </w:r>
      <w:proofErr w:type="spellEnd"/>
      <w:r w:rsidRPr="006C1E70">
        <w:rPr>
          <w:rFonts w:ascii="Cambria" w:eastAsia="Calibri" w:hAnsi="Cambria" w:cs="Calibri"/>
          <w:color w:val="231F20"/>
          <w:sz w:val="20"/>
          <w:szCs w:val="20"/>
        </w:rPr>
        <w:t xml:space="preserve">” </w:t>
      </w:r>
      <w:r w:rsidRPr="006C1E70">
        <w:rPr>
          <w:rFonts w:ascii="Cambria" w:hAnsi="Cambria"/>
          <w:color w:val="231F20"/>
          <w:sz w:val="20"/>
          <w:szCs w:val="20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</w:rPr>
        <w:t>208</w:t>
      </w:r>
    </w:p>
    <w:p w:rsidR="005D646C" w:rsidRPr="006C1E70" w:rsidRDefault="006C1E70" w:rsidP="006C1E70">
      <w:pPr>
        <w:pStyle w:val="Tekstpodstawowy"/>
        <w:numPr>
          <w:ilvl w:val="1"/>
          <w:numId w:val="5"/>
        </w:numPr>
        <w:tabs>
          <w:tab w:val="left" w:pos="508"/>
          <w:tab w:val="left" w:pos="6928"/>
        </w:tabs>
        <w:ind w:right="108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Harcerze,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zetempowcy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i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czyny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społeczne,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czyli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„trzeba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było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jakoś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ten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idiotyczny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ustrój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obchodzić”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239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</w:rPr>
      </w:pPr>
    </w:p>
    <w:p w:rsidR="005D646C" w:rsidRPr="006C1E70" w:rsidRDefault="006C1E70" w:rsidP="006C1E70">
      <w:pPr>
        <w:pStyle w:val="Tekstpodstawowy"/>
        <w:rPr>
          <w:rFonts w:ascii="Cambria" w:hAnsi="Cambria" w:cs="Arial Unicode MS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CZĘŚĆ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II.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SPOŁECZNA.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PRL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>STAN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b/>
          <w:color w:val="231F20"/>
          <w:sz w:val="20"/>
          <w:szCs w:val="20"/>
          <w:lang w:val="pl-PL"/>
        </w:rPr>
        <w:t xml:space="preserve">WOJENNY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269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1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Relacje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pomiędzy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pamięcią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zbiorową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indywidualną.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Zmiana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społecz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nych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ram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pamięci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271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1.1.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Społeczne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ramy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pamięci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jej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personalizacja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272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1.2.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Dlaczego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zostali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nauczycielami?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294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1.3.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zmanipulowana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309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2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.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Uczniowie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ketmanu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bohaterowie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komunizmu,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czyli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„Ja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już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sama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nie</w:t>
      </w:r>
      <w:r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wiem,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jaka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jest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ta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historia”.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Nauczyciele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 w:cs="Arial Unicode MS"/>
          <w:color w:val="231F20"/>
          <w:sz w:val="20"/>
          <w:szCs w:val="20"/>
          <w:lang w:val="pl-PL"/>
        </w:rPr>
        <w:t xml:space="preserve">PRL-u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317</w:t>
      </w:r>
    </w:p>
    <w:p w:rsidR="005D646C" w:rsidRPr="006C1E70" w:rsidRDefault="006C1E70" w:rsidP="006C1E70">
      <w:pPr>
        <w:pStyle w:val="Tekstpodstawowy"/>
        <w:numPr>
          <w:ilvl w:val="1"/>
          <w:numId w:val="4"/>
        </w:numPr>
        <w:tabs>
          <w:tab w:val="left" w:pos="50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Odważni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nauczyciele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ciekawi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uczniowie.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mówiono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szkole,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trzeba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było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pomijać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milczeniem?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317</w:t>
      </w:r>
    </w:p>
    <w:p w:rsidR="005D646C" w:rsidRPr="006C1E70" w:rsidRDefault="006C1E70" w:rsidP="006C1E70">
      <w:pPr>
        <w:pStyle w:val="Tekstpodstawowy"/>
        <w:numPr>
          <w:ilvl w:val="1"/>
          <w:numId w:val="4"/>
        </w:numPr>
        <w:tabs>
          <w:tab w:val="left" w:pos="50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Strach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(prze)milczenie,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znowu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przesłonięcie.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nauczyciele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nie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mówili 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szkole?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346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proofErr w:type="spellStart"/>
      <w:r w:rsidRPr="006C1E70">
        <w:rPr>
          <w:rFonts w:ascii="Cambria" w:hAnsi="Cambria"/>
          <w:color w:val="231F20"/>
          <w:sz w:val="20"/>
          <w:szCs w:val="20"/>
        </w:rPr>
        <w:t>Rozdział</w:t>
      </w:r>
      <w:proofErr w:type="spellEnd"/>
      <w:r w:rsidRPr="006C1E70">
        <w:rPr>
          <w:rFonts w:ascii="Cambria" w:hAnsi="Cambria"/>
          <w:color w:val="231F20"/>
          <w:sz w:val="20"/>
          <w:szCs w:val="20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</w:rPr>
        <w:t>3</w:t>
      </w:r>
      <w:r>
        <w:rPr>
          <w:rFonts w:ascii="Cambria" w:hAnsi="Cambria"/>
          <w:color w:val="231F20"/>
          <w:sz w:val="20"/>
          <w:szCs w:val="20"/>
        </w:rPr>
        <w:t xml:space="preserve">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Spór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PRL.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Ocena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życia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PRL-u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375</w:t>
      </w:r>
    </w:p>
    <w:p w:rsidR="005D646C" w:rsidRPr="006C1E70" w:rsidRDefault="006C1E70" w:rsidP="006C1E70">
      <w:pPr>
        <w:pStyle w:val="Tekstpodstawowy"/>
        <w:numPr>
          <w:ilvl w:val="1"/>
          <w:numId w:val="3"/>
        </w:numPr>
        <w:tabs>
          <w:tab w:val="left" w:pos="508"/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Nauczyciele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mówią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blaskach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cieniach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Polski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Ludowej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375</w:t>
      </w:r>
    </w:p>
    <w:p w:rsidR="005D646C" w:rsidRPr="006C1E70" w:rsidRDefault="006C1E70" w:rsidP="006C1E70">
      <w:pPr>
        <w:pStyle w:val="Tekstpodstawowy"/>
        <w:numPr>
          <w:ilvl w:val="1"/>
          <w:numId w:val="3"/>
        </w:numPr>
        <w:tabs>
          <w:tab w:val="left" w:pos="508"/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Lepsza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rzeczywistość,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czyli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„mnie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było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dobrze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w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PRL-u”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382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lastRenderedPageBreak/>
        <w:t>3.3.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Obrona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PRL-u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szczytów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władzy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408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3.4.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Całe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zło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PRL-u,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czyli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„Trzeba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było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jakoś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żyć.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Mimo,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nie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dzięki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PRL-owi”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410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3.5.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Bliżej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historii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PRL-u,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czyli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„brat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musiał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wyjechać”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434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Rozdział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</w:t>
      </w:r>
      <w:r>
        <w:rPr>
          <w:rFonts w:ascii="Cambria" w:hAnsi="Cambria"/>
          <w:color w:val="231F20"/>
          <w:sz w:val="20"/>
          <w:szCs w:val="20"/>
          <w:lang w:val="pl-PL"/>
        </w:rPr>
        <w:t xml:space="preserve">.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wojenny.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Dwie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pamięci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449</w:t>
      </w:r>
    </w:p>
    <w:p w:rsidR="005D646C" w:rsidRPr="006C1E70" w:rsidRDefault="006C1E70" w:rsidP="006C1E70">
      <w:pPr>
        <w:pStyle w:val="Tekstpodstawowy"/>
        <w:numPr>
          <w:ilvl w:val="1"/>
          <w:numId w:val="2"/>
        </w:numPr>
        <w:tabs>
          <w:tab w:val="left" w:pos="508"/>
        </w:tabs>
        <w:rPr>
          <w:rFonts w:ascii="Cambria" w:hAnsi="Cambria"/>
          <w:color w:val="231F20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Czarna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noc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go,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czyli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ostatni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atak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systemu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jeszcze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raz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o strachu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449</w:t>
      </w:r>
    </w:p>
    <w:p w:rsidR="005D646C" w:rsidRPr="006C1E70" w:rsidRDefault="006C1E70" w:rsidP="006C1E70">
      <w:pPr>
        <w:pStyle w:val="Tekstpodstawowy"/>
        <w:numPr>
          <w:ilvl w:val="1"/>
          <w:numId w:val="2"/>
        </w:numPr>
        <w:tabs>
          <w:tab w:val="left" w:pos="50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Niezapomn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iany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moment,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niedziela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rano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13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grudnia,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potem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„kolejka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jedna,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druga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już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po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dniu”,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czyli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wszystko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wraca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do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normalności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453</w:t>
      </w:r>
    </w:p>
    <w:p w:rsidR="005D646C" w:rsidRPr="006C1E70" w:rsidRDefault="006C1E70" w:rsidP="006C1E70">
      <w:pPr>
        <w:pStyle w:val="Tekstpodstawowy"/>
        <w:numPr>
          <w:ilvl w:val="1"/>
          <w:numId w:val="2"/>
        </w:numPr>
        <w:tabs>
          <w:tab w:val="left" w:pos="508"/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Wejdą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nie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wejdą?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Mniejsze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zło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tytan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zielonym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mundurze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480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4.4.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Druga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pamięć,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czyli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stanie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wojennym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inaczej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499</w:t>
      </w:r>
    </w:p>
    <w:p w:rsidR="005D646C" w:rsidRPr="006C1E70" w:rsidRDefault="006C1E70" w:rsidP="006C1E70">
      <w:pPr>
        <w:pStyle w:val="Tekstpodstawowy"/>
        <w:numPr>
          <w:ilvl w:val="1"/>
          <w:numId w:val="1"/>
        </w:numPr>
        <w:tabs>
          <w:tab w:val="left" w:pos="508"/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Obrazy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wojennego,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komunikacyjna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kulturowa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523</w:t>
      </w:r>
    </w:p>
    <w:p w:rsidR="005D646C" w:rsidRPr="006C1E70" w:rsidRDefault="006C1E70" w:rsidP="006C1E70">
      <w:pPr>
        <w:pStyle w:val="Tekstpodstawowy"/>
        <w:numPr>
          <w:ilvl w:val="1"/>
          <w:numId w:val="1"/>
        </w:numPr>
        <w:tabs>
          <w:tab w:val="left" w:pos="508"/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Trudne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wybaczenie,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czyli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„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miałbym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trochę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litości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>dla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eastAsia="Calibri" w:hAnsi="Cambria" w:cs="Calibri"/>
          <w:color w:val="231F20"/>
          <w:sz w:val="20"/>
          <w:szCs w:val="20"/>
          <w:lang w:val="pl-PL"/>
        </w:rPr>
        <w:t xml:space="preserve">Jaruzelskiego”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526</w:t>
      </w:r>
    </w:p>
    <w:p w:rsidR="006C1E70" w:rsidRDefault="006C1E70" w:rsidP="006C1E70">
      <w:pPr>
        <w:pStyle w:val="Tekstpodstawowy"/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rPr>
          <w:rFonts w:ascii="Cambria" w:hAnsi="Cambria" w:cs="Arial Unicode MS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Czas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PRL-u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i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stanu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wojennego.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Pamięć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autobiograficzna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a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społeczna.</w:t>
      </w:r>
    </w:p>
    <w:p w:rsid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color w:val="231F20"/>
          <w:sz w:val="20"/>
          <w:szCs w:val="20"/>
          <w:lang w:val="pl-PL"/>
        </w:rPr>
      </w:pP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Wnioski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529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Bibliografia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541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proofErr w:type="spellStart"/>
      <w:r w:rsidRPr="006C1E70">
        <w:rPr>
          <w:rFonts w:ascii="Cambria" w:hAnsi="Cambria"/>
          <w:color w:val="231F20"/>
          <w:sz w:val="20"/>
          <w:szCs w:val="20"/>
          <w:lang w:val="pl-PL"/>
        </w:rPr>
        <w:t>Summary</w:t>
      </w:r>
      <w:proofErr w:type="spellEnd"/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551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Aneks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555</w:t>
      </w:r>
    </w:p>
    <w:p w:rsidR="005D646C" w:rsidRPr="006C1E70" w:rsidRDefault="006C1E70" w:rsidP="006C1E70">
      <w:pPr>
        <w:pStyle w:val="Tekstpodstawowy"/>
        <w:tabs>
          <w:tab w:val="left" w:pos="6928"/>
        </w:tabs>
        <w:rPr>
          <w:rFonts w:ascii="Cambria" w:hAnsi="Cambria"/>
          <w:sz w:val="20"/>
          <w:szCs w:val="20"/>
          <w:lang w:val="pl-PL"/>
        </w:rPr>
      </w:pPr>
      <w:r w:rsidRPr="006C1E70">
        <w:rPr>
          <w:rFonts w:ascii="Cambria" w:hAnsi="Cambria"/>
          <w:color w:val="231F20"/>
          <w:sz w:val="20"/>
          <w:szCs w:val="20"/>
          <w:lang w:val="pl-PL"/>
        </w:rPr>
        <w:t>O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 xml:space="preserve">autorze    </w:t>
      </w:r>
      <w:r w:rsidRPr="006C1E70">
        <w:rPr>
          <w:rFonts w:ascii="Cambria" w:hAnsi="Cambria"/>
          <w:color w:val="231F20"/>
          <w:sz w:val="20"/>
          <w:szCs w:val="20"/>
          <w:lang w:val="pl-PL"/>
        </w:rPr>
        <w:t>559</w:t>
      </w:r>
    </w:p>
    <w:sectPr w:rsidR="005D646C" w:rsidRPr="006C1E70">
      <w:pgSz w:w="9530" w:h="13610"/>
      <w:pgMar w:top="92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6E"/>
    <w:multiLevelType w:val="multilevel"/>
    <w:tmpl w:val="6596BF5C"/>
    <w:lvl w:ilvl="0">
      <w:start w:val="4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87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abstractNum w:abstractNumId="1">
    <w:nsid w:val="056A75DF"/>
    <w:multiLevelType w:val="multilevel"/>
    <w:tmpl w:val="D95677FC"/>
    <w:lvl w:ilvl="0">
      <w:start w:val="3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26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6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0" w:hanging="397"/>
      </w:pPr>
      <w:rPr>
        <w:rFonts w:hint="default"/>
      </w:rPr>
    </w:lvl>
  </w:abstractNum>
  <w:abstractNum w:abstractNumId="2">
    <w:nsid w:val="0EE04C33"/>
    <w:multiLevelType w:val="multilevel"/>
    <w:tmpl w:val="A43E8904"/>
    <w:lvl w:ilvl="0">
      <w:start w:val="2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87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abstractNum w:abstractNumId="3">
    <w:nsid w:val="0F1F5882"/>
    <w:multiLevelType w:val="multilevel"/>
    <w:tmpl w:val="FE38522E"/>
    <w:lvl w:ilvl="0">
      <w:start w:val="1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26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6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0" w:hanging="397"/>
      </w:pPr>
      <w:rPr>
        <w:rFonts w:hint="default"/>
      </w:rPr>
    </w:lvl>
  </w:abstractNum>
  <w:abstractNum w:abstractNumId="4">
    <w:nsid w:val="216308E5"/>
    <w:multiLevelType w:val="multilevel"/>
    <w:tmpl w:val="423AFBC2"/>
    <w:lvl w:ilvl="0">
      <w:start w:val="4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87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abstractNum w:abstractNumId="5">
    <w:nsid w:val="2C4D37CE"/>
    <w:multiLevelType w:val="hybridMultilevel"/>
    <w:tmpl w:val="391EA926"/>
    <w:lvl w:ilvl="0" w:tplc="C85290B6">
      <w:start w:val="1"/>
      <w:numFmt w:val="decimal"/>
      <w:lvlText w:val="%1."/>
      <w:lvlJc w:val="left"/>
      <w:pPr>
        <w:ind w:left="394" w:hanging="284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1" w:tplc="1F36BC30">
      <w:start w:val="1"/>
      <w:numFmt w:val="bullet"/>
      <w:lvlText w:val="•"/>
      <w:lvlJc w:val="left"/>
      <w:pPr>
        <w:ind w:left="1091" w:hanging="284"/>
      </w:pPr>
      <w:rPr>
        <w:rFonts w:hint="default"/>
      </w:rPr>
    </w:lvl>
    <w:lvl w:ilvl="2" w:tplc="27821AF0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3" w:tplc="BE5AF536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4" w:tplc="B4162FCC">
      <w:start w:val="1"/>
      <w:numFmt w:val="bullet"/>
      <w:lvlText w:val="•"/>
      <w:lvlJc w:val="left"/>
      <w:pPr>
        <w:ind w:left="3182" w:hanging="284"/>
      </w:pPr>
      <w:rPr>
        <w:rFonts w:hint="default"/>
      </w:rPr>
    </w:lvl>
    <w:lvl w:ilvl="5" w:tplc="04B014C8">
      <w:start w:val="1"/>
      <w:numFmt w:val="bullet"/>
      <w:lvlText w:val="•"/>
      <w:lvlJc w:val="left"/>
      <w:pPr>
        <w:ind w:left="3879" w:hanging="284"/>
      </w:pPr>
      <w:rPr>
        <w:rFonts w:hint="default"/>
      </w:rPr>
    </w:lvl>
    <w:lvl w:ilvl="6" w:tplc="811A5C04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5B36999E">
      <w:start w:val="1"/>
      <w:numFmt w:val="bullet"/>
      <w:lvlText w:val="•"/>
      <w:lvlJc w:val="left"/>
      <w:pPr>
        <w:ind w:left="5273" w:hanging="284"/>
      </w:pPr>
      <w:rPr>
        <w:rFonts w:hint="default"/>
      </w:rPr>
    </w:lvl>
    <w:lvl w:ilvl="8" w:tplc="B2CA7580">
      <w:start w:val="1"/>
      <w:numFmt w:val="bullet"/>
      <w:lvlText w:val="•"/>
      <w:lvlJc w:val="left"/>
      <w:pPr>
        <w:ind w:left="5970" w:hanging="284"/>
      </w:pPr>
      <w:rPr>
        <w:rFonts w:hint="default"/>
      </w:rPr>
    </w:lvl>
  </w:abstractNum>
  <w:abstractNum w:abstractNumId="6">
    <w:nsid w:val="450F0692"/>
    <w:multiLevelType w:val="multilevel"/>
    <w:tmpl w:val="DA70A02A"/>
    <w:lvl w:ilvl="0">
      <w:start w:val="2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87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abstractNum w:abstractNumId="7">
    <w:nsid w:val="69F3660C"/>
    <w:multiLevelType w:val="multilevel"/>
    <w:tmpl w:val="F6BC18E0"/>
    <w:lvl w:ilvl="0">
      <w:start w:val="3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187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39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646C"/>
    <w:rsid w:val="005D646C"/>
    <w:rsid w:val="006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Arial Unicode MS" w:eastAsia="Arial Unicode MS" w:hAnsi="Arial Unicode MS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57F8937F</Template>
  <TotalTime>5</TotalTime>
  <Pages>1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2016-08-04T11:51:00Z</dcterms:created>
  <dcterms:modified xsi:type="dcterms:W3CDTF">2016-08-04T09:56:00Z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2016-08-04T00:00:00Z</vt:filetime>
  </property>
</Properties>
</file>