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Stanisław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Wie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t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eska,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Wstęp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7</w:t>
      </w:r>
    </w:p>
    <w:p w:rsidR="00517A9D" w:rsidRPr="00BA69A0" w:rsidRDefault="00517A9D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</w:p>
    <w:p w:rsidR="00517A9D" w:rsidRPr="00BA69A0" w:rsidRDefault="00BA69A0" w:rsidP="00BA69A0">
      <w:pPr>
        <w:ind w:left="601" w:hanging="601"/>
        <w:rPr>
          <w:rFonts w:ascii="Calibri" w:hAnsi="Calibri" w:cs="Calibri"/>
          <w:b/>
          <w:bCs/>
          <w:sz w:val="20"/>
          <w:szCs w:val="20"/>
          <w:lang w:val="pl-PL"/>
        </w:rPr>
      </w:pP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Część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I.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Finanse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publiczne</w:t>
      </w:r>
      <w:r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9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Andrzej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Buszk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o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poszukiwaniu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współczesnych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wyzwań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nowego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paradygmatu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nauki</w:t>
      </w:r>
      <w:r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finansach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  <w:t>11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Monika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Dziwisz,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Joseph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Abodakpi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Gr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anice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publicznych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kontekście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reguł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</w:t>
      </w:r>
      <w:r>
        <w:rPr>
          <w:rFonts w:ascii="Calibri" w:hAnsi="Calibri" w:cs="Calibri"/>
          <w:i/>
          <w:color w:val="231F20"/>
          <w:sz w:val="20"/>
          <w:szCs w:val="20"/>
          <w:lang w:val="pl-PL"/>
        </w:rPr>
        <w:t>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lnych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25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i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Gabriela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Golawsk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-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Witkowsk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Ewa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Mazurek-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Krasodomsk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Anna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zeczyck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Wiedz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finansowa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studentów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uczelni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t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echnicznych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przykładzie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Politechniki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Gdańskiej</w:t>
      </w:r>
      <w:r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jej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de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t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erminanty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35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i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Gabriela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Golawsk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-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Witkowsk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Ewa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Mazurek-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Krasodomsk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Anna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zeczyck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Zatory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płatnicze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odroczone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płatności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  <w:t>49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Iw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ona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Wojciechowska-Toruńska,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Konsolidacja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fiskalna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zadowolenie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z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życia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63</w:t>
      </w:r>
    </w:p>
    <w:p w:rsidR="00517A9D" w:rsidRPr="00BA69A0" w:rsidRDefault="00517A9D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</w:p>
    <w:p w:rsidR="00517A9D" w:rsidRPr="00BA69A0" w:rsidRDefault="00BA69A0" w:rsidP="00BA69A0">
      <w:pPr>
        <w:ind w:left="601" w:hanging="601"/>
        <w:rPr>
          <w:rFonts w:ascii="Calibri" w:hAnsi="Calibri" w:cs="Calibri"/>
          <w:b/>
          <w:bCs/>
          <w:sz w:val="20"/>
          <w:szCs w:val="20"/>
          <w:lang w:val="pl-PL"/>
        </w:rPr>
      </w:pP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Część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II.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Rynek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finansowy</w:t>
      </w:r>
      <w:r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75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i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Krzysztof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Echaust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Zależność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asymptotyczna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indeksów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sek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t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orowych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notowanych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Gieł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dzie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Papierów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artościowych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arszawie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77</w:t>
      </w:r>
    </w:p>
    <w:p w:rsidR="00517A9D" w:rsidRPr="00BA69A0" w:rsidRDefault="00BA69A0" w:rsidP="00BA69A0">
      <w:pPr>
        <w:pStyle w:val="Tekstpodstawowy"/>
        <w:ind w:left="601" w:hanging="601"/>
        <w:rPr>
          <w:rFonts w:eastAsia="Tahoma" w:cs="Calibri"/>
          <w:i w:val="0"/>
          <w:sz w:val="20"/>
          <w:szCs w:val="20"/>
          <w:lang w:val="pl-PL"/>
        </w:rPr>
      </w:pPr>
      <w:r w:rsidRPr="00BA69A0">
        <w:rPr>
          <w:rFonts w:cs="Calibri"/>
          <w:i w:val="0"/>
          <w:color w:val="231F20"/>
          <w:sz w:val="20"/>
          <w:szCs w:val="20"/>
          <w:lang w:val="pl-PL"/>
        </w:rPr>
        <w:t>Dariusz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>Filip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>,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W</w:t>
      </w:r>
      <w:r w:rsidRPr="00BA69A0">
        <w:rPr>
          <w:rFonts w:cs="Calibri"/>
          <w:color w:val="231F20"/>
          <w:sz w:val="20"/>
          <w:szCs w:val="20"/>
          <w:lang w:val="pl-PL"/>
        </w:rPr>
        <w:t>artość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aktywów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zarządzanych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przez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polskie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fundusze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inwestycyjne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a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ef</w:t>
      </w:r>
      <w:r w:rsidRPr="00BA69A0">
        <w:rPr>
          <w:rFonts w:cs="Calibri"/>
          <w:color w:val="231F20"/>
          <w:sz w:val="20"/>
          <w:szCs w:val="20"/>
          <w:lang w:val="pl-PL"/>
        </w:rPr>
        <w:t>ekty</w:t>
      </w:r>
      <w:r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ich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gospodarowania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ab/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>89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Dariusz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Le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tko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wski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Fundusze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ETF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Giełdzie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Papierów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artościowych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arszawie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109</w:t>
      </w:r>
    </w:p>
    <w:p w:rsidR="00517A9D" w:rsidRDefault="00BA69A0" w:rsidP="00BA69A0">
      <w:pPr>
        <w:ind w:left="601" w:hanging="601"/>
        <w:rPr>
          <w:rFonts w:ascii="Calibri" w:hAnsi="Calibri" w:cs="Calibri"/>
          <w:color w:val="231F20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Agnieszka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Moskal,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Danuta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Zaw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adzk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Fundusze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suro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co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rynku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inwestycji</w:t>
      </w:r>
      <w:r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alternatywnych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Polsce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121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i/>
          <w:sz w:val="20"/>
          <w:szCs w:val="20"/>
        </w:rPr>
      </w:pPr>
      <w:r w:rsidRPr="00BA69A0">
        <w:rPr>
          <w:rFonts w:ascii="Calibri" w:hAnsi="Calibri" w:cs="Calibri"/>
          <w:color w:val="231F20"/>
          <w:sz w:val="20"/>
          <w:szCs w:val="20"/>
        </w:rPr>
        <w:t>Mag</w:t>
      </w:r>
      <w:r w:rsidRPr="00BA69A0">
        <w:rPr>
          <w:rFonts w:ascii="Calibri" w:hAnsi="Calibri" w:cs="Calibri"/>
          <w:color w:val="231F20"/>
          <w:sz w:val="20"/>
          <w:szCs w:val="20"/>
        </w:rPr>
        <w:t>dalena</w:t>
      </w:r>
      <w:r w:rsidRPr="00BA69A0">
        <w:rPr>
          <w:rFonts w:ascii="Calibri" w:hAnsi="Calibri" w:cs="Calibri"/>
          <w:color w:val="231F20"/>
          <w:sz w:val="20"/>
          <w:szCs w:val="20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</w:rPr>
        <w:t>Mosionek-Schweda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Genesis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and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prerequisites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f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or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creating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stock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markets</w:t>
      </w:r>
      <w:r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f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or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small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and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medium-sized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</w:rPr>
        <w:t>enterprises</w:t>
      </w:r>
      <w:r w:rsidRPr="00BA69A0">
        <w:rPr>
          <w:rFonts w:ascii="Calibri" w:hAnsi="Calibri" w:cs="Calibri"/>
          <w:color w:val="231F20"/>
          <w:sz w:val="20"/>
          <w:szCs w:val="20"/>
        </w:rPr>
        <w:tab/>
      </w:r>
      <w:r w:rsidRPr="00BA69A0">
        <w:rPr>
          <w:rFonts w:ascii="Calibri" w:hAnsi="Calibri" w:cs="Calibri"/>
          <w:color w:val="231F20"/>
          <w:sz w:val="20"/>
          <w:szCs w:val="20"/>
        </w:rPr>
        <w:t>137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>Mar</w:t>
      </w: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>cin</w:t>
      </w: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>Potr</w:t>
      </w: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>ykus,</w:t>
      </w: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Diamenty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kolorach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f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antazyjnych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–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charak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t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erystyka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>walorów</w:t>
      </w:r>
      <w:r>
        <w:rPr>
          <w:rFonts w:ascii="Calibri" w:eastAsia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inwestycyjnych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147</w:t>
      </w:r>
    </w:p>
    <w:p w:rsidR="00517A9D" w:rsidRPr="00BA69A0" w:rsidRDefault="00BA69A0" w:rsidP="00BA69A0">
      <w:pPr>
        <w:pStyle w:val="Tekstpodstawowy"/>
        <w:ind w:left="601" w:hanging="601"/>
        <w:rPr>
          <w:rFonts w:eastAsia="Tahoma" w:cs="Calibri"/>
          <w:i w:val="0"/>
          <w:sz w:val="20"/>
          <w:szCs w:val="20"/>
          <w:lang w:val="pl-PL"/>
        </w:rPr>
      </w:pPr>
      <w:r w:rsidRPr="00BA69A0">
        <w:rPr>
          <w:rFonts w:cs="Calibri"/>
          <w:i w:val="0"/>
          <w:color w:val="231F20"/>
          <w:sz w:val="20"/>
          <w:szCs w:val="20"/>
          <w:lang w:val="pl-PL"/>
        </w:rPr>
        <w:t>Jo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>anna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>Siwek,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P</w:t>
      </w:r>
      <w:r w:rsidRPr="00BA69A0">
        <w:rPr>
          <w:rFonts w:cs="Calibri"/>
          <w:color w:val="231F20"/>
          <w:sz w:val="20"/>
          <w:szCs w:val="20"/>
          <w:lang w:val="pl-PL"/>
        </w:rPr>
        <w:t>ortf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el dwuskładnikowy </w:t>
      </w:r>
      <w:r w:rsidRPr="00BA69A0">
        <w:rPr>
          <w:rFonts w:cs="Calibri"/>
          <w:color w:val="231F20"/>
          <w:sz w:val="20"/>
          <w:szCs w:val="20"/>
          <w:lang w:val="pl-PL"/>
        </w:rPr>
        <w:t>z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wartością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bieżącą </w:t>
      </w:r>
      <w:r w:rsidRPr="00BA69A0">
        <w:rPr>
          <w:rFonts w:cs="Calibri"/>
          <w:color w:val="231F20"/>
          <w:sz w:val="20"/>
          <w:szCs w:val="20"/>
          <w:lang w:val="pl-PL"/>
        </w:rPr>
        <w:t>daną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liczbą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rozmytą</w:t>
      </w:r>
      <w:r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o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skończonym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nośniku</w:t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ab/>
      </w:r>
      <w:r w:rsidRPr="00BA69A0">
        <w:rPr>
          <w:rFonts w:cs="Calibri"/>
          <w:i w:val="0"/>
          <w:color w:val="231F20"/>
          <w:sz w:val="20"/>
          <w:szCs w:val="20"/>
          <w:lang w:val="pl-PL"/>
        </w:rPr>
        <w:t>163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i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Piotr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Zasępa,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Rozwój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polskiego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rynku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funduszy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venture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capital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oraz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privat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equity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okresie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1998–2014</w:t>
      </w:r>
      <w:r w:rsidRPr="00BA69A0">
        <w:rPr>
          <w:rFonts w:ascii="Calibri" w:eastAsia="Tahoma" w:hAnsi="Calibri" w:cs="Calibri"/>
          <w:color w:val="231F20"/>
          <w:sz w:val="20"/>
          <w:szCs w:val="20"/>
          <w:lang w:val="pl-PL"/>
        </w:rPr>
        <w:tab/>
        <w:t>179</w:t>
      </w:r>
    </w:p>
    <w:p w:rsidR="00BA69A0" w:rsidRDefault="00BA69A0" w:rsidP="00BA69A0">
      <w:pPr>
        <w:ind w:left="601" w:hanging="601"/>
        <w:rPr>
          <w:rFonts w:ascii="Calibri" w:hAnsi="Calibri" w:cs="Calibri"/>
          <w:color w:val="231F20"/>
          <w:sz w:val="20"/>
          <w:szCs w:val="20"/>
          <w:lang w:val="pl-PL"/>
        </w:rPr>
      </w:pPr>
    </w:p>
    <w:p w:rsidR="00517A9D" w:rsidRPr="00BA69A0" w:rsidRDefault="00BA69A0" w:rsidP="00BA69A0">
      <w:pPr>
        <w:ind w:left="601" w:hanging="601"/>
        <w:rPr>
          <w:rFonts w:ascii="Calibri" w:hAnsi="Calibri" w:cs="Calibri"/>
          <w:b/>
          <w:bCs/>
          <w:sz w:val="20"/>
          <w:szCs w:val="20"/>
          <w:lang w:val="pl-PL"/>
        </w:rPr>
      </w:pP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Część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III.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Finanse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>przedsiębiorstw</w:t>
      </w:r>
      <w:r w:rsidRPr="00BA69A0">
        <w:rPr>
          <w:rFonts w:ascii="Calibri" w:hAnsi="Calibri" w:cs="Calibri"/>
          <w:b/>
          <w:color w:val="231F20"/>
          <w:sz w:val="20"/>
          <w:szCs w:val="20"/>
          <w:lang w:val="pl-PL"/>
        </w:rPr>
        <w:tab/>
        <w:t>191</w:t>
      </w:r>
    </w:p>
    <w:p w:rsidR="00517A9D" w:rsidRPr="00BA69A0" w:rsidRDefault="00BA69A0" w:rsidP="00BA69A0">
      <w:pPr>
        <w:pStyle w:val="Tekstpodstawowy"/>
        <w:ind w:left="601" w:hanging="601"/>
        <w:rPr>
          <w:rFonts w:eastAsia="Tahoma" w:cs="Calibri"/>
          <w:i w:val="0"/>
          <w:sz w:val="20"/>
          <w:szCs w:val="20"/>
          <w:lang w:val="pl-PL"/>
        </w:rPr>
      </w:pPr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>Monik</w:t>
      </w:r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>a</w:t>
      </w:r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 xml:space="preserve"> </w:t>
      </w:r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>Bolek,</w:t>
      </w:r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Kapitał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obrotowy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ne</w:t>
      </w:r>
      <w:r w:rsidRPr="00BA69A0">
        <w:rPr>
          <w:rFonts w:cs="Calibri"/>
          <w:color w:val="231F20"/>
          <w:sz w:val="20"/>
          <w:szCs w:val="20"/>
          <w:lang w:val="pl-PL"/>
        </w:rPr>
        <w:t>tt</w:t>
      </w:r>
      <w:r w:rsidRPr="00BA69A0">
        <w:rPr>
          <w:rFonts w:cs="Calibri"/>
          <w:color w:val="231F20"/>
          <w:sz w:val="20"/>
          <w:szCs w:val="20"/>
          <w:lang w:val="pl-PL"/>
        </w:rPr>
        <w:t>o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i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płynność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finansowa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–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analiza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na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podstawie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spółek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notowanych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cs="Calibri"/>
          <w:color w:val="231F20"/>
          <w:sz w:val="20"/>
          <w:szCs w:val="20"/>
          <w:lang w:val="pl-PL"/>
        </w:rPr>
        <w:t>na</w:t>
      </w:r>
      <w:r w:rsidRPr="00BA69A0">
        <w:rPr>
          <w:rFonts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cs="Calibri"/>
          <w:color w:val="231F20"/>
          <w:sz w:val="20"/>
          <w:szCs w:val="20"/>
          <w:lang w:val="pl-PL"/>
        </w:rPr>
        <w:t>Ne</w:t>
      </w:r>
      <w:r w:rsidRPr="00BA69A0">
        <w:rPr>
          <w:rFonts w:cs="Calibri"/>
          <w:color w:val="231F20"/>
          <w:sz w:val="20"/>
          <w:szCs w:val="20"/>
          <w:lang w:val="pl-PL"/>
        </w:rPr>
        <w:t>wConnect</w:t>
      </w:r>
      <w:proofErr w:type="spellEnd"/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ab/>
      </w:r>
      <w:r w:rsidRPr="00BA69A0">
        <w:rPr>
          <w:rFonts w:eastAsia="Tahoma" w:cs="Calibri"/>
          <w:i w:val="0"/>
          <w:color w:val="231F20"/>
          <w:sz w:val="20"/>
          <w:szCs w:val="20"/>
          <w:lang w:val="pl-PL"/>
        </w:rPr>
        <w:t>193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Gabriela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Golawsk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-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Witkowsk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Ewa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Mazurek-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Krasodomsk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Anna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R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zeczyck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Business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angels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jako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alternatywne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źródło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finansowania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start-</w:t>
      </w:r>
      <w:proofErr w:type="spellStart"/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upów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207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Jolant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Iwin-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Garzyńska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Gr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anice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optymalizacji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podatkowej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finansach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przedsiębiorstwa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223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Iz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abela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Krawczyk-Sokołowska,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Zuzanna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Ostraszewska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Rachunek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kosztó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zarządzaniu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procesem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innowacyjnym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przedsiębiorstwie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235</w:t>
      </w:r>
    </w:p>
    <w:p w:rsidR="00517A9D" w:rsidRPr="00BA69A0" w:rsidRDefault="00BA69A0" w:rsidP="00BA69A0">
      <w:pPr>
        <w:ind w:left="601" w:hanging="601"/>
        <w:rPr>
          <w:rFonts w:ascii="Calibri" w:eastAsia="Tahoma" w:hAnsi="Calibri" w:cs="Calibri"/>
          <w:i/>
          <w:sz w:val="20"/>
          <w:szCs w:val="20"/>
          <w:lang w:val="pl-PL"/>
        </w:rPr>
      </w:pP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Danuta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Zawadzk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Agnieszka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Kurdyś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-Kujawsk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a,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Agnieszka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proofErr w:type="spellStart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Sompolsk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a-R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zechuła</w:t>
      </w:r>
      <w:proofErr w:type="spellEnd"/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,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Finansowanie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nakładów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inwestycyjnych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nowo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powstałych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przedsiębiorstw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początkowej</w:t>
      </w:r>
      <w:r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bookmarkStart w:id="0" w:name="_GoBack"/>
      <w:bookmarkEnd w:id="0"/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f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azie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rozwoju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kolejnych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latach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działalności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gospodarczej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ujęciu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branżowym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w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 xml:space="preserve"> </w:t>
      </w:r>
      <w:r w:rsidRPr="00BA69A0">
        <w:rPr>
          <w:rFonts w:ascii="Calibri" w:hAnsi="Calibri" w:cs="Calibri"/>
          <w:i/>
          <w:color w:val="231F20"/>
          <w:sz w:val="20"/>
          <w:szCs w:val="20"/>
          <w:lang w:val="pl-PL"/>
        </w:rPr>
        <w:t>Polsce</w:t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A69A0">
        <w:rPr>
          <w:rFonts w:ascii="Calibri" w:hAnsi="Calibri" w:cs="Calibri"/>
          <w:color w:val="231F20"/>
          <w:sz w:val="20"/>
          <w:szCs w:val="20"/>
          <w:lang w:val="pl-PL"/>
        </w:rPr>
        <w:t>249</w:t>
      </w:r>
    </w:p>
    <w:sectPr w:rsidR="00517A9D" w:rsidRPr="00BA69A0">
      <w:pgSz w:w="9530" w:h="13610"/>
      <w:pgMar w:top="72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7A9D"/>
    <w:rsid w:val="00517A9D"/>
    <w:rsid w:val="00B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3"/>
      <w:ind w:left="117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rFonts w:ascii="Calibri" w:eastAsia="Calibri" w:hAnsi="Calibri"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DD808606</Template>
  <TotalTime>7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2018-01-08T15:16:00Z</dcterms:created>
  <dcterms:modified xsi:type="dcterms:W3CDTF">2018-01-09T09:35:00Z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