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bookmarkStart w:id="0" w:name="_GoBack"/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1. Wprowadzenie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9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1.1.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Zakres i cele pracy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12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1.2.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Metodologia i struktura pracy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15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1.3.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Materiały źródłowe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16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1.4.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Problemy pomiaru badanych zjawisk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18</w:t>
      </w:r>
    </w:p>
    <w:p w:rsidR="00A65970" w:rsidRPr="00A65970" w:rsidRDefault="00A65970" w:rsidP="00A65970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CZĘŚĆ I. KONCEPCJE</w:t>
      </w:r>
      <w:r w:rsidR="00A65970"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25</w:t>
      </w: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2. Miasto, centrum miasta, przestrzeń publiczna. Definicje</w:t>
      </w:r>
      <w:r w:rsidR="00A65970"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i interpretacje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27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2.1.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Miasto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27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2.2.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Centrum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34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2.3.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Metody delimitacji centrum miasta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43</w:t>
      </w:r>
    </w:p>
    <w:p w:rsidR="007458DB" w:rsidRPr="00A65970" w:rsidRDefault="0016305F" w:rsidP="00A65970">
      <w:pPr>
        <w:ind w:left="39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2.4.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Przestrzeń publiczna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47</w:t>
      </w:r>
    </w:p>
    <w:p w:rsidR="007458DB" w:rsidRPr="00A65970" w:rsidRDefault="00A65970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3. </w:t>
      </w:r>
      <w:r w:rsidR="0016305F"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Zrównoważony rozwój, zrównoważony rozwój miejski</w:t>
      </w:r>
      <w:r w:rsidR="0016305F"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61</w:t>
      </w:r>
    </w:p>
    <w:p w:rsidR="007458DB" w:rsidRPr="00A65970" w:rsidRDefault="0016305F" w:rsidP="00A65970">
      <w:pPr>
        <w:numPr>
          <w:ilvl w:val="1"/>
          <w:numId w:val="14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Geneza i ewolucja koncepcji zrównoważonego rozwoju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61</w:t>
      </w:r>
    </w:p>
    <w:p w:rsidR="007458DB" w:rsidRPr="00A65970" w:rsidRDefault="0016305F" w:rsidP="00A65970">
      <w:pPr>
        <w:numPr>
          <w:ilvl w:val="1"/>
          <w:numId w:val="14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Defi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nicja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zrównoważonego rozwoju i powiązane z nim pojęcia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64</w:t>
      </w:r>
    </w:p>
    <w:p w:rsidR="007458DB" w:rsidRPr="00A65970" w:rsidRDefault="0016305F" w:rsidP="00A65970">
      <w:pPr>
        <w:numPr>
          <w:ilvl w:val="1"/>
          <w:numId w:val="13"/>
        </w:numPr>
        <w:ind w:right="131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Przegląd wskaźników zrównoważonego rozwoju proponowanych przez organizacje światowe, Unię Europejską oraz instytucje na poziomie narodowym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65</w:t>
      </w:r>
    </w:p>
    <w:p w:rsidR="007458DB" w:rsidRPr="00A65970" w:rsidRDefault="0016305F" w:rsidP="00A65970">
      <w:pPr>
        <w:numPr>
          <w:ilvl w:val="1"/>
          <w:numId w:val="13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Środowisko miejskie. Zrównoważony rozwój miejski i jego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wskaźniki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69</w:t>
      </w:r>
    </w:p>
    <w:p w:rsidR="007458DB" w:rsidRPr="00A65970" w:rsidRDefault="0016305F" w:rsidP="00A65970">
      <w:pPr>
        <w:numPr>
          <w:ilvl w:val="1"/>
          <w:numId w:val="12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Specyfika polskiego podejścia do zrównoważonego rozwoju.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Krajowe systemy wskaźników zrównoważonego rozwoju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78</w:t>
      </w:r>
    </w:p>
    <w:p w:rsidR="007458DB" w:rsidRPr="00A65970" w:rsidRDefault="0016305F" w:rsidP="00A65970">
      <w:pPr>
        <w:numPr>
          <w:ilvl w:val="1"/>
          <w:numId w:val="12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Zrównoważony rozwój a zagadnienia planistyczne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83</w:t>
      </w: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4. Jakość życia</w:t>
      </w:r>
      <w:r w:rsidR="00A65970"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93</w:t>
      </w:r>
    </w:p>
    <w:p w:rsidR="007458DB" w:rsidRPr="00A65970" w:rsidRDefault="0016305F" w:rsidP="00A65970">
      <w:pPr>
        <w:numPr>
          <w:ilvl w:val="1"/>
          <w:numId w:val="11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Pojęcia jakości życia i pokrewne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93</w:t>
      </w:r>
    </w:p>
    <w:p w:rsidR="007458DB" w:rsidRPr="00A65970" w:rsidRDefault="0016305F" w:rsidP="00A65970">
      <w:pPr>
        <w:numPr>
          <w:ilvl w:val="1"/>
          <w:numId w:val="11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Jakość życia a zrównoważony rozwój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95</w:t>
      </w:r>
    </w:p>
    <w:p w:rsidR="007458DB" w:rsidRPr="00A65970" w:rsidRDefault="0016305F" w:rsidP="00A65970">
      <w:pPr>
        <w:numPr>
          <w:ilvl w:val="1"/>
          <w:numId w:val="11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Jakość życia a jakość przestrzeni miejskiej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97</w:t>
      </w:r>
    </w:p>
    <w:p w:rsidR="007458DB" w:rsidRPr="00A65970" w:rsidRDefault="0016305F" w:rsidP="00A65970">
      <w:pPr>
        <w:numPr>
          <w:ilvl w:val="1"/>
          <w:numId w:val="11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Propozycje pomiaru jakości życia na świecie i w Polsce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99</w:t>
      </w:r>
    </w:p>
    <w:p w:rsidR="007458DB" w:rsidRPr="00A65970" w:rsidRDefault="0016305F" w:rsidP="00A65970">
      <w:pPr>
        <w:numPr>
          <w:ilvl w:val="0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Atrakcyjność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109</w:t>
      </w:r>
    </w:p>
    <w:p w:rsidR="007458DB" w:rsidRPr="00A65970" w:rsidRDefault="0016305F" w:rsidP="00A6597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Atrakcyjność miasta a zrównoważony rozwój i jakość życia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109</w:t>
      </w:r>
    </w:p>
    <w:p w:rsidR="007458DB" w:rsidRPr="00A65970" w:rsidRDefault="0016305F" w:rsidP="00A6597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Czynniki lokalizacyjne a atrakcyjność miasta. Jakość miejsca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112</w:t>
      </w:r>
    </w:p>
    <w:p w:rsidR="007458DB" w:rsidRPr="00A65970" w:rsidRDefault="0016305F" w:rsidP="00A65970">
      <w:pPr>
        <w:numPr>
          <w:ilvl w:val="1"/>
          <w:numId w:val="9"/>
        </w:numPr>
        <w:ind w:right="151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Problematyka atrakcyjności miasta w dokumentach Unii Europejskiej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119</w:t>
      </w:r>
    </w:p>
    <w:p w:rsidR="007458DB" w:rsidRPr="00A65970" w:rsidRDefault="0016305F" w:rsidP="00A65970">
      <w:pPr>
        <w:numPr>
          <w:ilvl w:val="1"/>
          <w:numId w:val="9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Atrakcyjność a konkurencyjność miasta. Marketing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123</w:t>
      </w:r>
    </w:p>
    <w:p w:rsidR="007458DB" w:rsidRPr="00A65970" w:rsidRDefault="0016305F" w:rsidP="00A65970">
      <w:pPr>
        <w:numPr>
          <w:ilvl w:val="1"/>
          <w:numId w:val="9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Czynniki atrakcyjności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129</w:t>
      </w:r>
    </w:p>
    <w:p w:rsidR="007458DB" w:rsidRPr="00A65970" w:rsidRDefault="0016305F" w:rsidP="00A65970">
      <w:pPr>
        <w:numPr>
          <w:ilvl w:val="0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Zrównoważona rewitalizacja miejska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139</w:t>
      </w:r>
    </w:p>
    <w:p w:rsidR="007458DB" w:rsidRPr="00A65970" w:rsidRDefault="0016305F" w:rsidP="00761C9E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Rewitalizacja a zrównoważony rozwój, jakość życia i atrakcyjność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140</w:t>
      </w:r>
    </w:p>
    <w:p w:rsidR="007458DB" w:rsidRPr="00A65970" w:rsidRDefault="0016305F" w:rsidP="00A6597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Wskaźniki zrównoważonej rewitalizacji miejskiej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143</w:t>
      </w:r>
    </w:p>
    <w:p w:rsidR="007458DB" w:rsidRPr="00A65970" w:rsidRDefault="0016305F" w:rsidP="00A6597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Zrównoważona rewitalizacja miejska w Polsce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148</w:t>
      </w:r>
    </w:p>
    <w:p w:rsidR="007458DB" w:rsidRPr="00A65970" w:rsidRDefault="0016305F" w:rsidP="00A65970">
      <w:pPr>
        <w:numPr>
          <w:ilvl w:val="0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Jakość przestrzeni miejskiej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151</w:t>
      </w:r>
    </w:p>
    <w:p w:rsidR="00C47C60" w:rsidRPr="00C47C60" w:rsidRDefault="00C47C60" w:rsidP="00C47C6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Jakość przestrzeni a zrównoważony rozwój, jakość życia i atrakcyjność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151</w:t>
      </w:r>
    </w:p>
    <w:p w:rsidR="00C47C60" w:rsidRPr="00C47C60" w:rsidRDefault="00C47C60" w:rsidP="00C47C6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Ekonomiczna i społeczna wartość jakości przestrzeni. Jakość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przestrzeni jako czynnik lokalizacyjny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160</w:t>
      </w:r>
    </w:p>
    <w:p w:rsidR="00C47C60" w:rsidRPr="00C47C60" w:rsidRDefault="00C47C60" w:rsidP="00C47C6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Percepcja i waloryzacja przestrzeni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166</w:t>
      </w:r>
    </w:p>
    <w:p w:rsidR="00C47C60" w:rsidRPr="00A65970" w:rsidRDefault="00C47C60" w:rsidP="00C47C6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>Badania jakości przestrzeni – przegląd koncepcji</w:t>
      </w: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ab/>
        <w:t>172</w:t>
      </w:r>
    </w:p>
    <w:p w:rsidR="007458DB" w:rsidRPr="00A65970" w:rsidRDefault="0016305F" w:rsidP="00A65970">
      <w:pPr>
        <w:numPr>
          <w:ilvl w:val="0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Jakość przestrzeni publicznej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191</w:t>
      </w:r>
    </w:p>
    <w:p w:rsidR="007458DB" w:rsidRPr="00A65970" w:rsidRDefault="0016305F" w:rsidP="00A65970">
      <w:pPr>
        <w:numPr>
          <w:ilvl w:val="1"/>
          <w:numId w:val="10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Czynniki jakości przestrzeni publicznej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193</w:t>
      </w:r>
    </w:p>
    <w:p w:rsidR="007458DB" w:rsidRPr="00A65970" w:rsidRDefault="0016305F" w:rsidP="00A65970">
      <w:pPr>
        <w:numPr>
          <w:ilvl w:val="1"/>
          <w:numId w:val="8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Przestrzeń publiczna centrum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198</w:t>
      </w:r>
    </w:p>
    <w:p w:rsidR="007458DB" w:rsidRPr="00A65970" w:rsidRDefault="0016305F" w:rsidP="00761C9E">
      <w:pPr>
        <w:numPr>
          <w:ilvl w:val="1"/>
          <w:numId w:val="8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lastRenderedPageBreak/>
        <w:t>Zasady projektowania przestrzeni publicznej i koncepcje oceny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jej jakości</w:t>
      </w:r>
      <w:r w:rsidR="00A6597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202</w:t>
      </w:r>
    </w:p>
    <w:p w:rsidR="007458DB" w:rsidRPr="00A65970" w:rsidRDefault="0016305F" w:rsidP="00A65970">
      <w:pPr>
        <w:numPr>
          <w:ilvl w:val="0"/>
          <w:numId w:val="10"/>
        </w:numPr>
        <w:ind w:right="151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Zestawienie elementów rzutujących na jakość przestrzeni publicznej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225</w:t>
      </w:r>
    </w:p>
    <w:p w:rsidR="00A65970" w:rsidRDefault="00A65970" w:rsidP="00A65970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CZĘŚĆ II. SYNTETYCZNA METODA OCENY</w:t>
      </w:r>
      <w:r w:rsidR="00A6597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249</w:t>
      </w:r>
    </w:p>
    <w:p w:rsidR="007458DB" w:rsidRPr="00A65970" w:rsidRDefault="0016305F" w:rsidP="00A65970">
      <w:pPr>
        <w:numPr>
          <w:ilvl w:val="0"/>
          <w:numId w:val="7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Delimitacja obszaru badań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251</w:t>
      </w:r>
    </w:p>
    <w:p w:rsidR="007458DB" w:rsidRPr="00A65970" w:rsidRDefault="0016305F" w:rsidP="00A65970">
      <w:pPr>
        <w:numPr>
          <w:ilvl w:val="1"/>
          <w:numId w:val="7"/>
        </w:numPr>
        <w:ind w:right="152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System przestrzeni publicznej, struktura sieciowa przestrzeni publicznej, </w:t>
      </w:r>
      <w:r w:rsidRPr="00A65970">
        <w:rPr>
          <w:rFonts w:ascii="Calibri" w:hAnsi="Calibri" w:cs="Calibri"/>
          <w:i/>
          <w:color w:val="231F20"/>
          <w:sz w:val="20"/>
          <w:szCs w:val="20"/>
          <w:lang w:val="pl-PL"/>
        </w:rPr>
        <w:t>kluczowa przestrzeń publiczna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251</w:t>
      </w:r>
    </w:p>
    <w:p w:rsidR="007458DB" w:rsidRPr="00A65970" w:rsidRDefault="0016305F" w:rsidP="00A65970">
      <w:pPr>
        <w:numPr>
          <w:ilvl w:val="1"/>
          <w:numId w:val="7"/>
        </w:numPr>
        <w:ind w:right="152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 xml:space="preserve">Wyznaczenie obszaru badań – centrum miasta na podstawie zasięgu </w:t>
      </w:r>
      <w:r w:rsidRPr="00A65970">
        <w:rPr>
          <w:rFonts w:ascii="Calibri" w:eastAsia="Century Schoolbook" w:hAnsi="Calibri" w:cs="Calibri"/>
          <w:i/>
          <w:color w:val="231F20"/>
          <w:sz w:val="20"/>
          <w:szCs w:val="20"/>
          <w:lang w:val="pl-PL"/>
        </w:rPr>
        <w:t>kluczowej przestrzeni publicznej</w:t>
      </w: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ab/>
        <w:t>254</w:t>
      </w:r>
    </w:p>
    <w:p w:rsidR="007458DB" w:rsidRPr="00A65970" w:rsidRDefault="0016305F" w:rsidP="00A65970">
      <w:pPr>
        <w:numPr>
          <w:ilvl w:val="0"/>
          <w:numId w:val="7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Syntetyczna metoda oceny jakości przestrzeni publicznej</w:t>
      </w:r>
      <w:r w:rsidR="00A65970"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centrum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259</w:t>
      </w:r>
    </w:p>
    <w:p w:rsidR="007458DB" w:rsidRPr="00A65970" w:rsidRDefault="0016305F" w:rsidP="00A65970">
      <w:pPr>
        <w:numPr>
          <w:ilvl w:val="1"/>
          <w:numId w:val="7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Waloryzacja graficzna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262</w:t>
      </w:r>
    </w:p>
    <w:p w:rsidR="007458DB" w:rsidRPr="00A65970" w:rsidRDefault="0016305F" w:rsidP="00761C9E">
      <w:pPr>
        <w:numPr>
          <w:ilvl w:val="1"/>
          <w:numId w:val="7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Waloryzacja tabelaryczna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272</w:t>
      </w:r>
    </w:p>
    <w:p w:rsidR="007458DB" w:rsidRPr="00A65970" w:rsidRDefault="0016305F" w:rsidP="00A65970">
      <w:pPr>
        <w:numPr>
          <w:ilvl w:val="1"/>
          <w:numId w:val="6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Badania sondażowe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279</w:t>
      </w:r>
    </w:p>
    <w:p w:rsidR="007458DB" w:rsidRPr="00A65970" w:rsidRDefault="0016305F" w:rsidP="00A65970">
      <w:pPr>
        <w:numPr>
          <w:ilvl w:val="1"/>
          <w:numId w:val="6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Końcowa</w:t>
      </w: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 xml:space="preserve"> ocena jakości przestrzeni publicznej centrum – ranking</w:t>
      </w:r>
      <w:r w:rsidR="00A65970"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miast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282</w:t>
      </w:r>
    </w:p>
    <w:p w:rsidR="00A65970" w:rsidRPr="00A65970" w:rsidRDefault="00A65970" w:rsidP="00A65970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CZĘŚĆ III. BADANIA</w:t>
      </w:r>
      <w:r w:rsidR="00A6597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285</w:t>
      </w:r>
    </w:p>
    <w:p w:rsidR="007458DB" w:rsidRPr="00A65970" w:rsidRDefault="0016305F" w:rsidP="00A65970">
      <w:pPr>
        <w:numPr>
          <w:ilvl w:val="0"/>
          <w:numId w:val="5"/>
        </w:numPr>
        <w:ind w:right="151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Miasta średnie regionu łódzkiego. Charakterystyka analizowanych miast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287</w:t>
      </w:r>
    </w:p>
    <w:p w:rsidR="007458DB" w:rsidRPr="00A65970" w:rsidRDefault="0016305F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>Miasta średnie – ogólne cechy zbioru, wybór grupy miast</w:t>
      </w:r>
      <w:r w:rsidR="00A65970"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do badań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287</w:t>
      </w:r>
    </w:p>
    <w:p w:rsidR="007458DB" w:rsidRPr="00A65970" w:rsidRDefault="0016305F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Zarys rozwoju, zasoby dziedzictwa kulturowego i rewitalizacja centrów badanych miast średnich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297</w:t>
      </w:r>
    </w:p>
    <w:p w:rsidR="007458DB" w:rsidRPr="00A65970" w:rsidRDefault="0016305F" w:rsidP="00A65970">
      <w:pPr>
        <w:numPr>
          <w:ilvl w:val="0"/>
          <w:numId w:val="5"/>
        </w:numPr>
        <w:ind w:right="151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Badania jakości przestrzeni publicznej centrum wybranych miast średnich regionu łódzkiego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323</w:t>
      </w:r>
    </w:p>
    <w:p w:rsidR="007458DB" w:rsidRPr="00A65970" w:rsidRDefault="0016305F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Delimitacja centrów miast na podstawie zasięgu </w:t>
      </w:r>
      <w:r w:rsidRPr="00A65970">
        <w:rPr>
          <w:rFonts w:ascii="Calibri" w:hAnsi="Calibri" w:cs="Calibri"/>
          <w:i/>
          <w:color w:val="231F20"/>
          <w:sz w:val="20"/>
          <w:szCs w:val="20"/>
          <w:lang w:val="pl-PL"/>
        </w:rPr>
        <w:t>kluczowej przestrzeni publicznej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323</w:t>
      </w:r>
    </w:p>
    <w:p w:rsidR="007458DB" w:rsidRPr="00A65970" w:rsidRDefault="0016305F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Wyniki waloryzacji graficznej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324</w:t>
      </w:r>
    </w:p>
    <w:p w:rsidR="007458DB" w:rsidRPr="00A65970" w:rsidRDefault="0016305F" w:rsidP="00A65970">
      <w:pPr>
        <w:numPr>
          <w:ilvl w:val="1"/>
          <w:numId w:val="3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Wyniki waloryzacji tabelarycznej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332</w:t>
      </w:r>
    </w:p>
    <w:p w:rsidR="007458DB" w:rsidRPr="00A65970" w:rsidRDefault="0016305F" w:rsidP="00761C9E">
      <w:pPr>
        <w:numPr>
          <w:ilvl w:val="1"/>
          <w:numId w:val="3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Wyniki badań sondażowych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341</w:t>
      </w:r>
    </w:p>
    <w:p w:rsidR="007458DB" w:rsidRPr="00A65970" w:rsidRDefault="0016305F" w:rsidP="00761C9E">
      <w:pPr>
        <w:numPr>
          <w:ilvl w:val="1"/>
          <w:numId w:val="3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Końcowa ocena jakości przestrzeni publicznej centrum</w:t>
      </w:r>
      <w:r w:rsid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>– ranking miast</w:t>
      </w: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ab/>
        <w:t>350</w:t>
      </w:r>
    </w:p>
    <w:p w:rsidR="007458DB" w:rsidRPr="00A65970" w:rsidRDefault="0016305F" w:rsidP="00A65970">
      <w:pPr>
        <w:numPr>
          <w:ilvl w:val="0"/>
          <w:numId w:val="5"/>
        </w:numPr>
        <w:ind w:right="151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eastAsia="Century Schoolbook" w:hAnsi="Calibri" w:cs="Calibri"/>
          <w:b/>
          <w:bCs/>
          <w:color w:val="231F20"/>
          <w:sz w:val="20"/>
          <w:szCs w:val="20"/>
          <w:lang w:val="pl-PL"/>
        </w:rPr>
        <w:t>Jakość przestrzeni publicznej centrów miast średnich regionu łódzkiego – podsumowanie badań</w:t>
      </w:r>
      <w:r w:rsidRPr="00A65970">
        <w:rPr>
          <w:rFonts w:ascii="Calibri" w:eastAsia="Century Schoolbook" w:hAnsi="Calibri" w:cs="Calibri"/>
          <w:color w:val="231F20"/>
          <w:sz w:val="20"/>
          <w:szCs w:val="20"/>
          <w:lang w:val="pl-PL"/>
        </w:rPr>
        <w:tab/>
        <w:t>353</w:t>
      </w:r>
    </w:p>
    <w:p w:rsidR="007458DB" w:rsidRPr="00C47C60" w:rsidRDefault="0016305F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Kluczowa przestrzeń publiczna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badanych miast średnich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354</w:t>
      </w:r>
    </w:p>
    <w:p w:rsidR="00C47C60" w:rsidRPr="00C47C60" w:rsidRDefault="00C47C60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Analiza wyników delimitacji centrów miast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356</w:t>
      </w:r>
    </w:p>
    <w:p w:rsidR="00C47C60" w:rsidRPr="00A65970" w:rsidRDefault="00C47C60" w:rsidP="00A65970">
      <w:pPr>
        <w:numPr>
          <w:ilvl w:val="1"/>
          <w:numId w:val="5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Analiza rankingu miast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359</w:t>
      </w:r>
    </w:p>
    <w:p w:rsidR="007458DB" w:rsidRPr="00A65970" w:rsidRDefault="0016305F" w:rsidP="00A65970">
      <w:pPr>
        <w:numPr>
          <w:ilvl w:val="1"/>
          <w:numId w:val="1"/>
        </w:numPr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Wnioski i rekomendacje. Nowe oczekiwania wobec przestrzeni</w:t>
      </w:r>
      <w:r w:rsidR="00A65970" w:rsidRPr="00A6597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>publicznej centrum miasta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363</w:t>
      </w:r>
    </w:p>
    <w:p w:rsidR="00A65970" w:rsidRDefault="00A65970" w:rsidP="00A65970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Bibliografia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373</w:t>
      </w:r>
    </w:p>
    <w:p w:rsidR="007458DB" w:rsidRPr="00A65970" w:rsidRDefault="0016305F" w:rsidP="00A65970">
      <w:pPr>
        <w:ind w:left="110"/>
        <w:rPr>
          <w:rFonts w:ascii="Calibri" w:eastAsia="Century Schoolbook" w:hAnsi="Calibri" w:cs="Calibri"/>
          <w:sz w:val="20"/>
          <w:szCs w:val="20"/>
          <w:lang w:val="pl-PL"/>
        </w:rPr>
      </w:pPr>
      <w:r w:rsidRPr="00A65970">
        <w:rPr>
          <w:rFonts w:ascii="Calibri" w:hAnsi="Calibri" w:cs="Calibri"/>
          <w:b/>
          <w:color w:val="231F20"/>
          <w:sz w:val="20"/>
          <w:szCs w:val="20"/>
          <w:lang w:val="pl-PL"/>
        </w:rPr>
        <w:t>Aneks. Jakość przestrzeni publicznej miast średnich</w:t>
      </w:r>
      <w:r w:rsidRPr="00A65970">
        <w:rPr>
          <w:rFonts w:ascii="Calibri" w:hAnsi="Calibri" w:cs="Calibri"/>
          <w:color w:val="231F20"/>
          <w:sz w:val="20"/>
          <w:szCs w:val="20"/>
          <w:lang w:val="pl-PL"/>
        </w:rPr>
        <w:tab/>
        <w:t>391</w:t>
      </w:r>
    </w:p>
    <w:p w:rsidR="007458DB" w:rsidRPr="00761C9E" w:rsidRDefault="0016305F" w:rsidP="00A65970">
      <w:pPr>
        <w:ind w:left="426" w:hanging="316"/>
        <w:rPr>
          <w:rFonts w:ascii="Calibri" w:eastAsia="Century Schoolbook" w:hAnsi="Calibri" w:cs="Calibri"/>
          <w:sz w:val="20"/>
          <w:szCs w:val="20"/>
        </w:rPr>
      </w:pPr>
      <w:r w:rsidRPr="00761C9E">
        <w:rPr>
          <w:rFonts w:ascii="Calibri" w:hAnsi="Calibri" w:cs="Calibri"/>
          <w:b/>
          <w:color w:val="231F20"/>
          <w:sz w:val="20"/>
          <w:szCs w:val="20"/>
        </w:rPr>
        <w:t xml:space="preserve">Quality of public space of town center. The example of medium-sized towns of </w:t>
      </w:r>
      <w:proofErr w:type="spellStart"/>
      <w:r w:rsidRPr="00761C9E">
        <w:rPr>
          <w:rFonts w:ascii="Calibri" w:hAnsi="Calibri" w:cs="Calibri"/>
          <w:b/>
          <w:color w:val="231F20"/>
          <w:sz w:val="20"/>
          <w:szCs w:val="20"/>
        </w:rPr>
        <w:t>Łódź</w:t>
      </w:r>
      <w:proofErr w:type="spellEnd"/>
      <w:r w:rsidRPr="00761C9E">
        <w:rPr>
          <w:rFonts w:ascii="Calibri" w:hAnsi="Calibri" w:cs="Calibri"/>
          <w:b/>
          <w:color w:val="231F20"/>
          <w:sz w:val="20"/>
          <w:szCs w:val="20"/>
        </w:rPr>
        <w:t xml:space="preserve"> region </w:t>
      </w:r>
      <w:r w:rsidRPr="00761C9E">
        <w:rPr>
          <w:rFonts w:ascii="Calibri" w:hAnsi="Calibri" w:cs="Calibri"/>
          <w:color w:val="231F20"/>
          <w:sz w:val="20"/>
          <w:szCs w:val="20"/>
        </w:rPr>
        <w:t>(Summary)</w:t>
      </w:r>
      <w:r w:rsidRPr="00761C9E">
        <w:rPr>
          <w:rFonts w:ascii="Calibri" w:hAnsi="Calibri" w:cs="Calibri"/>
          <w:color w:val="231F20"/>
          <w:sz w:val="20"/>
          <w:szCs w:val="20"/>
        </w:rPr>
        <w:tab/>
        <w:t>395</w:t>
      </w:r>
      <w:bookmarkEnd w:id="0"/>
    </w:p>
    <w:sectPr w:rsidR="007458DB" w:rsidRPr="00761C9E" w:rsidSect="00761C9E">
      <w:pgSz w:w="9530" w:h="13610"/>
      <w:pgMar w:top="567" w:right="1060" w:bottom="998" w:left="1077" w:header="822" w:footer="8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6C" w:rsidRDefault="0073526C">
      <w:r>
        <w:separator/>
      </w:r>
    </w:p>
  </w:endnote>
  <w:endnote w:type="continuationSeparator" w:id="0">
    <w:p w:rsidR="0073526C" w:rsidRDefault="0073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6C" w:rsidRDefault="0073526C">
      <w:r>
        <w:separator/>
      </w:r>
    </w:p>
  </w:footnote>
  <w:footnote w:type="continuationSeparator" w:id="0">
    <w:p w:rsidR="0073526C" w:rsidRDefault="0073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0D"/>
    <w:multiLevelType w:val="multilevel"/>
    <w:tmpl w:val="D2FC95D8"/>
    <w:lvl w:ilvl="0">
      <w:start w:val="2"/>
      <w:numFmt w:val="decimal"/>
      <w:lvlText w:val="%1"/>
      <w:lvlJc w:val="left"/>
      <w:pPr>
        <w:ind w:left="145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600"/>
      </w:pPr>
      <w:rPr>
        <w:rFonts w:ascii="Century Schoolbook" w:eastAsia="Century Schoolbook" w:hAnsi="Century Schoolbook" w:hint="default"/>
        <w:color w:val="231F20"/>
        <w:spacing w:val="-8"/>
        <w:sz w:val="20"/>
        <w:szCs w:val="20"/>
      </w:rPr>
    </w:lvl>
    <w:lvl w:ilvl="3">
      <w:start w:val="1"/>
      <w:numFmt w:val="bullet"/>
      <w:lvlText w:val="•"/>
      <w:lvlJc w:val="left"/>
      <w:pPr>
        <w:ind w:left="322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1" w:hanging="600"/>
      </w:pPr>
      <w:rPr>
        <w:rFonts w:hint="default"/>
      </w:rPr>
    </w:lvl>
  </w:abstractNum>
  <w:abstractNum w:abstractNumId="1">
    <w:nsid w:val="024A1131"/>
    <w:multiLevelType w:val="multilevel"/>
    <w:tmpl w:val="F82C7936"/>
    <w:lvl w:ilvl="0">
      <w:start w:val="5"/>
      <w:numFmt w:val="decimal"/>
      <w:lvlText w:val="%1."/>
      <w:lvlJc w:val="left"/>
      <w:pPr>
        <w:ind w:left="390" w:hanging="280"/>
      </w:pPr>
      <w:rPr>
        <w:rFonts w:ascii="Century Schoolbook" w:eastAsia="Century Schoolbook" w:hAnsi="Century Schoolbook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."/>
      <w:lvlJc w:val="left"/>
      <w:pPr>
        <w:ind w:left="870" w:hanging="48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87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6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480"/>
      </w:pPr>
      <w:rPr>
        <w:rFonts w:hint="default"/>
      </w:rPr>
    </w:lvl>
  </w:abstractNum>
  <w:abstractNum w:abstractNumId="2">
    <w:nsid w:val="077B2BB5"/>
    <w:multiLevelType w:val="multilevel"/>
    <w:tmpl w:val="817AA8B6"/>
    <w:lvl w:ilvl="0">
      <w:start w:val="3"/>
      <w:numFmt w:val="decimal"/>
      <w:lvlText w:val="%1"/>
      <w:lvlJc w:val="left"/>
      <w:pPr>
        <w:ind w:left="87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48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450" w:hanging="60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76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0" w:hanging="600"/>
      </w:pPr>
      <w:rPr>
        <w:rFonts w:hint="default"/>
      </w:rPr>
    </w:lvl>
  </w:abstractNum>
  <w:abstractNum w:abstractNumId="3">
    <w:nsid w:val="12F03818"/>
    <w:multiLevelType w:val="multilevel"/>
    <w:tmpl w:val="E09081C6"/>
    <w:lvl w:ilvl="0">
      <w:start w:val="13"/>
      <w:numFmt w:val="decimal"/>
      <w:lvlText w:val="%1"/>
      <w:lvlJc w:val="left"/>
      <w:pPr>
        <w:ind w:left="173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7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30" w:hanging="70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3426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2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8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3" w:hanging="700"/>
      </w:pPr>
      <w:rPr>
        <w:rFonts w:hint="default"/>
      </w:rPr>
    </w:lvl>
  </w:abstractNum>
  <w:abstractNum w:abstractNumId="4">
    <w:nsid w:val="17CD478E"/>
    <w:multiLevelType w:val="multilevel"/>
    <w:tmpl w:val="292021F6"/>
    <w:lvl w:ilvl="0">
      <w:start w:val="8"/>
      <w:numFmt w:val="decimal"/>
      <w:lvlText w:val="%1"/>
      <w:lvlJc w:val="left"/>
      <w:pPr>
        <w:ind w:left="87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480"/>
      </w:pPr>
      <w:rPr>
        <w:rFonts w:ascii="Century Schoolbook" w:eastAsia="Century Schoolbook" w:hAnsi="Century Schoolbook" w:hint="default"/>
        <w:color w:val="231F20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3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1" w:hanging="480"/>
      </w:pPr>
      <w:rPr>
        <w:rFonts w:hint="default"/>
      </w:rPr>
    </w:lvl>
  </w:abstractNum>
  <w:abstractNum w:abstractNumId="5">
    <w:nsid w:val="25D17743"/>
    <w:multiLevelType w:val="multilevel"/>
    <w:tmpl w:val="4B126E74"/>
    <w:lvl w:ilvl="0">
      <w:start w:val="14"/>
      <w:numFmt w:val="decimal"/>
      <w:lvlText w:val="%1"/>
      <w:lvlJc w:val="left"/>
      <w:pPr>
        <w:ind w:left="1030" w:hanging="5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0" w:hanging="520"/>
      </w:pPr>
      <w:rPr>
        <w:rFonts w:ascii="Century Schoolbook" w:eastAsia="Century Schoolbook" w:hAnsi="Century Schoolbook" w:hint="default"/>
        <w:color w:val="231F20"/>
        <w:spacing w:val="-6"/>
        <w:sz w:val="20"/>
        <w:szCs w:val="20"/>
      </w:rPr>
    </w:lvl>
    <w:lvl w:ilvl="2">
      <w:start w:val="1"/>
      <w:numFmt w:val="decimal"/>
      <w:lvlText w:val="%1.%2.%3."/>
      <w:lvlJc w:val="left"/>
      <w:pPr>
        <w:ind w:left="1730" w:hanging="700"/>
      </w:pPr>
      <w:rPr>
        <w:rFonts w:ascii="Century Schoolbook" w:eastAsia="Century Schoolbook" w:hAnsi="Century Schoolbook" w:hint="default"/>
        <w:color w:val="231F20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987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1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9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8" w:hanging="700"/>
      </w:pPr>
      <w:rPr>
        <w:rFonts w:hint="default"/>
      </w:rPr>
    </w:lvl>
  </w:abstractNum>
  <w:abstractNum w:abstractNumId="6">
    <w:nsid w:val="28CC4C4D"/>
    <w:multiLevelType w:val="multilevel"/>
    <w:tmpl w:val="BAA84700"/>
    <w:lvl w:ilvl="0">
      <w:start w:val="10"/>
      <w:numFmt w:val="decimal"/>
      <w:lvlText w:val="%1."/>
      <w:lvlJc w:val="left"/>
      <w:pPr>
        <w:ind w:left="510" w:hanging="400"/>
      </w:pPr>
      <w:rPr>
        <w:rFonts w:ascii="Century Schoolbook" w:eastAsia="Century Schoolbook" w:hAnsi="Century Schoolbook" w:hint="default"/>
        <w:b/>
        <w:bCs/>
        <w:color w:val="231F2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ind w:left="1030" w:hanging="52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030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9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3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7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1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5" w:hanging="520"/>
      </w:pPr>
      <w:rPr>
        <w:rFonts w:hint="default"/>
      </w:rPr>
    </w:lvl>
  </w:abstractNum>
  <w:abstractNum w:abstractNumId="7">
    <w:nsid w:val="2B0B6E97"/>
    <w:multiLevelType w:val="multilevel"/>
    <w:tmpl w:val="26864DCC"/>
    <w:lvl w:ilvl="0">
      <w:start w:val="12"/>
      <w:numFmt w:val="decimal"/>
      <w:lvlText w:val="%1"/>
      <w:lvlJc w:val="left"/>
      <w:pPr>
        <w:ind w:left="173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30" w:hanging="7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30" w:hanging="70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3426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2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8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3" w:hanging="700"/>
      </w:pPr>
      <w:rPr>
        <w:rFonts w:hint="default"/>
      </w:rPr>
    </w:lvl>
  </w:abstractNum>
  <w:abstractNum w:abstractNumId="8">
    <w:nsid w:val="3A36696D"/>
    <w:multiLevelType w:val="multilevel"/>
    <w:tmpl w:val="F3465AFE"/>
    <w:lvl w:ilvl="0">
      <w:start w:val="5"/>
      <w:numFmt w:val="decimal"/>
      <w:lvlText w:val="%1"/>
      <w:lvlJc w:val="left"/>
      <w:pPr>
        <w:ind w:left="87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480"/>
      </w:pPr>
      <w:rPr>
        <w:rFonts w:ascii="Century Schoolbook" w:eastAsia="Century Schoolbook" w:hAnsi="Century Schoolbook" w:hint="default"/>
        <w:color w:val="231F20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3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1" w:hanging="480"/>
      </w:pPr>
      <w:rPr>
        <w:rFonts w:hint="default"/>
      </w:rPr>
    </w:lvl>
  </w:abstractNum>
  <w:abstractNum w:abstractNumId="9">
    <w:nsid w:val="41CA331B"/>
    <w:multiLevelType w:val="multilevel"/>
    <w:tmpl w:val="330E00B4"/>
    <w:lvl w:ilvl="0">
      <w:start w:val="3"/>
      <w:numFmt w:val="decimal"/>
      <w:lvlText w:val="%1"/>
      <w:lvlJc w:val="left"/>
      <w:pPr>
        <w:ind w:left="87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480"/>
      </w:pPr>
      <w:rPr>
        <w:rFonts w:ascii="Century Schoolbook" w:eastAsia="Century Schoolbook" w:hAnsi="Century Schoolbook" w:hint="default"/>
        <w:color w:val="231F2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50" w:hanging="600"/>
      </w:pPr>
      <w:rPr>
        <w:rFonts w:ascii="Century Schoolbook" w:eastAsia="Century Schoolbook" w:hAnsi="Century Schoolbook" w:hint="default"/>
        <w:color w:val="231F20"/>
        <w:spacing w:val="-4"/>
        <w:sz w:val="20"/>
        <w:szCs w:val="20"/>
      </w:rPr>
    </w:lvl>
    <w:lvl w:ilvl="3">
      <w:start w:val="1"/>
      <w:numFmt w:val="bullet"/>
      <w:lvlText w:val="•"/>
      <w:lvlJc w:val="left"/>
      <w:pPr>
        <w:ind w:left="276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0" w:hanging="600"/>
      </w:pPr>
      <w:rPr>
        <w:rFonts w:hint="default"/>
      </w:rPr>
    </w:lvl>
  </w:abstractNum>
  <w:abstractNum w:abstractNumId="10">
    <w:nsid w:val="452B4C43"/>
    <w:multiLevelType w:val="multilevel"/>
    <w:tmpl w:val="659EED00"/>
    <w:lvl w:ilvl="0">
      <w:start w:val="11"/>
      <w:numFmt w:val="decimal"/>
      <w:lvlText w:val="%1"/>
      <w:lvlJc w:val="left"/>
      <w:pPr>
        <w:ind w:left="1030" w:hanging="5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0" w:hanging="52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301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6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1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7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8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3" w:hanging="520"/>
      </w:pPr>
      <w:rPr>
        <w:rFonts w:hint="default"/>
      </w:rPr>
    </w:lvl>
  </w:abstractNum>
  <w:abstractNum w:abstractNumId="11">
    <w:nsid w:val="60E61153"/>
    <w:multiLevelType w:val="multilevel"/>
    <w:tmpl w:val="CFB4B50A"/>
    <w:lvl w:ilvl="0">
      <w:start w:val="13"/>
      <w:numFmt w:val="decimal"/>
      <w:lvlText w:val="%1"/>
      <w:lvlJc w:val="left"/>
      <w:pPr>
        <w:ind w:left="1030" w:hanging="5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0" w:hanging="520"/>
      </w:pPr>
      <w:rPr>
        <w:rFonts w:ascii="Century Schoolbook" w:eastAsia="Century Schoolbook" w:hAnsi="Century Schoolbook" w:hint="default"/>
        <w:color w:val="231F2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ind w:left="1730" w:hanging="70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986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1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9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8" w:hanging="700"/>
      </w:pPr>
      <w:rPr>
        <w:rFonts w:hint="default"/>
      </w:rPr>
    </w:lvl>
  </w:abstractNum>
  <w:abstractNum w:abstractNumId="12">
    <w:nsid w:val="64F01DD5"/>
    <w:multiLevelType w:val="multilevel"/>
    <w:tmpl w:val="F51861DE"/>
    <w:lvl w:ilvl="0">
      <w:start w:val="4"/>
      <w:numFmt w:val="decimal"/>
      <w:lvlText w:val="%1"/>
      <w:lvlJc w:val="left"/>
      <w:pPr>
        <w:ind w:left="87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8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16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5" w:hanging="480"/>
      </w:pPr>
      <w:rPr>
        <w:rFonts w:hint="default"/>
      </w:rPr>
    </w:lvl>
  </w:abstractNum>
  <w:abstractNum w:abstractNumId="13">
    <w:nsid w:val="6AD36C4C"/>
    <w:multiLevelType w:val="multilevel"/>
    <w:tmpl w:val="EDC4190E"/>
    <w:lvl w:ilvl="0">
      <w:start w:val="3"/>
      <w:numFmt w:val="decimal"/>
      <w:lvlText w:val="%1."/>
      <w:lvlJc w:val="left"/>
      <w:pPr>
        <w:ind w:left="390" w:hanging="280"/>
      </w:pPr>
      <w:rPr>
        <w:rFonts w:ascii="Century Schoolbook" w:eastAsia="Century Schoolbook" w:hAnsi="Century Schoolbook" w:hint="default"/>
        <w:b/>
        <w:bCs/>
        <w:color w:val="231F2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ind w:left="850" w:hanging="46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574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7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1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9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6" w:hanging="460"/>
      </w:pPr>
      <w:rPr>
        <w:rFonts w:hint="default"/>
      </w:rPr>
    </w:lvl>
  </w:abstractNum>
  <w:abstractNum w:abstractNumId="14">
    <w:nsid w:val="750C21D2"/>
    <w:multiLevelType w:val="multilevel"/>
    <w:tmpl w:val="AB8460D0"/>
    <w:lvl w:ilvl="0">
      <w:start w:val="12"/>
      <w:numFmt w:val="decimal"/>
      <w:lvlText w:val="%1."/>
      <w:lvlJc w:val="left"/>
      <w:pPr>
        <w:ind w:left="510" w:hanging="400"/>
      </w:pPr>
      <w:rPr>
        <w:rFonts w:ascii="Century Schoolbook" w:eastAsia="Century Schoolbook" w:hAnsi="Century Schoolbook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."/>
      <w:lvlJc w:val="left"/>
      <w:pPr>
        <w:ind w:left="1030" w:hanging="520"/>
      </w:pPr>
      <w:rPr>
        <w:rFonts w:ascii="Century Schoolbook" w:eastAsia="Century Schoolbook" w:hAnsi="Century Schoolbook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730" w:hanging="700"/>
      </w:pPr>
      <w:rPr>
        <w:rFonts w:ascii="Century Schoolbook" w:eastAsia="Century Schoolbook" w:hAnsi="Century Schoolbook" w:hint="default"/>
        <w:color w:val="231F20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1030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0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5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7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9" w:hanging="7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8DB"/>
    <w:rsid w:val="0016305F"/>
    <w:rsid w:val="002B56DA"/>
    <w:rsid w:val="0073526C"/>
    <w:rsid w:val="007458DB"/>
    <w:rsid w:val="00761C9E"/>
    <w:rsid w:val="00A65970"/>
    <w:rsid w:val="00C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970"/>
  </w:style>
  <w:style w:type="paragraph" w:styleId="Stopka">
    <w:name w:val="footer"/>
    <w:basedOn w:val="Normalny"/>
    <w:link w:val="StopkaZnak"/>
    <w:uiPriority w:val="99"/>
    <w:unhideWhenUsed/>
    <w:rsid w:val="00A65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EC08A55E</Template>
  <TotalTime>15</TotalTime>
  <Pages>1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Wojnarowska do druku 9_02_18</dc:title>
  <cp:lastModifiedBy>Zdzislaw Gralka</cp:lastModifiedBy>
  <cp:revision>5</cp:revision>
  <dcterms:created xsi:type="dcterms:W3CDTF">2018-02-15T11:42:00Z</dcterms:created>
  <dcterms:modified xsi:type="dcterms:W3CDTF">2018-02-16T11:38:00Z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2018-02-15T00:00:00Z</vt:filetime>
  </property>
</Properties>
</file>