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Í</w:t>
      </w:r>
      <w:r w:rsidRPr="006F67E2">
        <w:rPr>
          <w:lang w:val="es-ES_tradnl"/>
        </w:rPr>
        <w:t>NDICE</w:t>
      </w:r>
    </w:p>
    <w:p w:rsidR="00CF4A85" w:rsidRPr="006F67E2" w:rsidRDefault="00CF4A85" w:rsidP="006F67E2">
      <w:pPr>
        <w:ind w:left="709" w:hanging="720"/>
        <w:rPr>
          <w:lang w:val="es-ES_tradnl"/>
        </w:rPr>
      </w:pP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PRÓLOGO</w:t>
      </w:r>
      <w:r w:rsidRPr="006F67E2">
        <w:rPr>
          <w:lang w:val="es-ES_tradnl"/>
        </w:rPr>
        <w:tab/>
        <w:t>9</w:t>
      </w:r>
    </w:p>
    <w:p w:rsidR="006F67E2" w:rsidRPr="006F67E2" w:rsidRDefault="006F67E2" w:rsidP="006F67E2">
      <w:pPr>
        <w:ind w:left="709" w:hanging="720"/>
        <w:rPr>
          <w:lang w:val="es-ES_tradnl"/>
        </w:rPr>
      </w:pP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C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rl</w:t>
      </w:r>
      <w:r w:rsidRPr="006F67E2">
        <w:rPr>
          <w:lang w:val="es-ES_tradnl"/>
        </w:rPr>
        <w:t>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Al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so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Hidalgo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Alfageme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al</w:t>
      </w:r>
      <w:r w:rsidRPr="006F67E2">
        <w:rPr>
          <w:lang w:val="es-ES_tradnl"/>
        </w:rPr>
        <w:t>ter</w:t>
      </w:r>
      <w:r w:rsidRPr="006F67E2">
        <w:rPr>
          <w:lang w:val="es-ES_tradnl"/>
        </w:rPr>
        <w:t>nancia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causativa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verbos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cambio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tado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físico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desde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per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pe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i</w:t>
      </w:r>
      <w:r w:rsidRPr="006F67E2">
        <w:rPr>
          <w:lang w:val="es-ES_tradnl"/>
        </w:rPr>
        <w:t>va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descomposición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referente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sujeto</w:t>
      </w:r>
      <w:r w:rsidR="006F67E2">
        <w:rPr>
          <w:lang w:val="es-ES_tradnl"/>
        </w:rPr>
        <w:t xml:space="preserve"> </w:t>
      </w:r>
      <w:bookmarkStart w:id="0" w:name="_GoBack"/>
      <w:bookmarkEnd w:id="0"/>
      <w:r w:rsidRPr="006F67E2">
        <w:rPr>
          <w:lang w:val="es-ES_tradnl"/>
        </w:rPr>
        <w:tab/>
      </w:r>
      <w:r w:rsidRPr="006F67E2">
        <w:rPr>
          <w:lang w:val="es-ES_tradnl"/>
        </w:rPr>
        <w:t>13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Alfredo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Álvarez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inm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vilización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m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frontera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funcional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in</w:t>
      </w:r>
      <w:r w:rsidRPr="006F67E2">
        <w:rPr>
          <w:lang w:val="es-ES_tradnl"/>
        </w:rPr>
        <w:t>terje</w:t>
      </w:r>
      <w:r w:rsidRPr="006F67E2">
        <w:rPr>
          <w:lang w:val="es-ES_tradnl"/>
        </w:rPr>
        <w:t>cción</w:t>
      </w:r>
      <w:r w:rsidRPr="006F67E2">
        <w:rPr>
          <w:lang w:val="es-ES_tradnl"/>
        </w:rPr>
        <w:t>: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sobre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integración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ierta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interjecciones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imp</w:t>
      </w:r>
      <w:r w:rsidRPr="006F67E2">
        <w:rPr>
          <w:lang w:val="es-ES_tradnl"/>
        </w:rPr>
        <w:t>ro</w:t>
      </w:r>
      <w:r w:rsidRPr="006F67E2">
        <w:rPr>
          <w:lang w:val="es-ES_tradnl"/>
        </w:rPr>
        <w:t>pias</w:t>
      </w:r>
      <w:r w:rsidRPr="006F67E2">
        <w:rPr>
          <w:lang w:val="es-ES_tradnl"/>
        </w:rPr>
        <w:tab/>
      </w:r>
      <w:r w:rsidRPr="006F67E2">
        <w:rPr>
          <w:lang w:val="es-ES_tradnl"/>
        </w:rPr>
        <w:t>25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Lorena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Camacho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Guardado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Quizás,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quizás,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quizás: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selección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modal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para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expresar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ro</w:t>
      </w:r>
      <w:r w:rsidRPr="006F67E2">
        <w:rPr>
          <w:lang w:val="es-ES_tradnl"/>
        </w:rPr>
        <w:t>babilidad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ab/>
      </w:r>
      <w:r w:rsidRPr="006F67E2">
        <w:rPr>
          <w:lang w:val="es-ES_tradnl"/>
        </w:rPr>
        <w:t>37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Ramón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An</w:t>
      </w:r>
      <w:r w:rsidRPr="006F67E2">
        <w:rPr>
          <w:lang w:val="es-ES_tradnl"/>
        </w:rPr>
        <w:t>d</w:t>
      </w:r>
      <w:r w:rsidRPr="006F67E2">
        <w:rPr>
          <w:lang w:val="es-ES_tradnl"/>
        </w:rPr>
        <w:t>rés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Díaz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Nuevo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lingüís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ic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et</w:t>
      </w:r>
      <w:r w:rsidRPr="006F67E2">
        <w:rPr>
          <w:lang w:val="es-ES_tradnl"/>
        </w:rPr>
        <w:t>le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,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sobre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frontera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entre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gallegoportugués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asturleonés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asturias</w:t>
      </w:r>
      <w:r w:rsidRPr="006F67E2">
        <w:rPr>
          <w:lang w:val="es-ES_tradnl"/>
        </w:rPr>
        <w:tab/>
      </w:r>
      <w:r w:rsidRPr="006F67E2">
        <w:rPr>
          <w:lang w:val="es-ES_tradnl"/>
        </w:rPr>
        <w:t>51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A</w:t>
      </w:r>
      <w:r w:rsidRPr="006F67E2">
        <w:rPr>
          <w:lang w:val="es-ES_tradnl"/>
        </w:rPr>
        <w:t>le</w:t>
      </w:r>
      <w:r w:rsidRPr="006F67E2">
        <w:rPr>
          <w:lang w:val="es-ES_tradnl"/>
        </w:rPr>
        <w:t>ja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d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Espin</w:t>
      </w:r>
      <w:r w:rsidRPr="006F67E2">
        <w:rPr>
          <w:lang w:val="es-ES_tradnl"/>
        </w:rPr>
        <w:t>osa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eg</w:t>
      </w:r>
      <w:r w:rsidRPr="006F67E2">
        <w:rPr>
          <w:lang w:val="es-ES_tradnl"/>
        </w:rPr>
        <w:t>u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a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U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ac</w:t>
      </w:r>
      <w:r w:rsidRPr="006F67E2">
        <w:rPr>
          <w:lang w:val="es-ES_tradnl"/>
        </w:rPr>
        <w:t>er</w:t>
      </w:r>
      <w:r w:rsidRPr="006F67E2">
        <w:rPr>
          <w:lang w:val="es-ES_tradnl"/>
        </w:rPr>
        <w:t>cam</w:t>
      </w:r>
      <w:r w:rsidRPr="006F67E2">
        <w:rPr>
          <w:lang w:val="es-ES_tradnl"/>
        </w:rPr>
        <w:t>ie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to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lingüística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sincrónica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épo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actual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u</w:t>
      </w:r>
      <w:r w:rsidRPr="006F67E2">
        <w:rPr>
          <w:lang w:val="es-ES_tradnl"/>
        </w:rPr>
        <w:t>ca</w:t>
      </w:r>
      <w:r w:rsidRPr="006F67E2">
        <w:rPr>
          <w:lang w:val="es-ES_tradnl"/>
        </w:rPr>
        <w:t>,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</w:t>
      </w:r>
      <w:r w:rsidRPr="006F67E2">
        <w:rPr>
          <w:lang w:val="es-ES_tradnl"/>
        </w:rPr>
        <w:t>tado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Mé</w:t>
      </w:r>
      <w:r w:rsidRPr="006F67E2">
        <w:rPr>
          <w:lang w:val="es-ES_tradnl"/>
        </w:rPr>
        <w:t>xic</w:t>
      </w:r>
      <w:r w:rsidRPr="006F67E2">
        <w:rPr>
          <w:lang w:val="es-ES_tradnl"/>
        </w:rPr>
        <w:t>o: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náhua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ab/>
      </w:r>
      <w:r w:rsidRPr="006F67E2">
        <w:rPr>
          <w:lang w:val="es-ES_tradnl"/>
        </w:rPr>
        <w:t>69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Raúl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Fernández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Jódar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Re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cim</w:t>
      </w:r>
      <w:r w:rsidRPr="006F67E2">
        <w:rPr>
          <w:lang w:val="es-ES_tradnl"/>
        </w:rPr>
        <w:t>ie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to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percepción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registro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quial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alumn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lac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: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pro-verbo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ab/>
      </w:r>
      <w:r w:rsidRPr="006F67E2">
        <w:rPr>
          <w:lang w:val="es-ES_tradnl"/>
        </w:rPr>
        <w:t>77</w:t>
      </w:r>
    </w:p>
    <w:p w:rsidR="00CF4A85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Óscar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García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Marchena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marcadores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conversacionales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modalidad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fra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e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averbal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predicativa</w:t>
      </w:r>
      <w:r w:rsidRPr="006F67E2">
        <w:rPr>
          <w:lang w:val="es-ES_tradnl"/>
        </w:rPr>
        <w:tab/>
      </w:r>
      <w:r w:rsidRPr="006F67E2">
        <w:rPr>
          <w:lang w:val="es-ES_tradnl"/>
        </w:rPr>
        <w:t>93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Monika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</w:t>
      </w:r>
      <w:r w:rsidRPr="006F67E2">
        <w:rPr>
          <w:lang w:val="es-ES_tradnl"/>
        </w:rPr>
        <w:t>łow</w:t>
      </w:r>
      <w:r w:rsidRPr="006F67E2">
        <w:rPr>
          <w:lang w:val="es-ES_tradnl"/>
        </w:rPr>
        <w:t>ic</w:t>
      </w:r>
      <w:r w:rsidRPr="006F67E2">
        <w:rPr>
          <w:lang w:val="es-ES_tradnl"/>
        </w:rPr>
        <w:t>ka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verbos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modales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sus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equivalencias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traductoras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polaco</w:t>
      </w:r>
      <w:r w:rsidRPr="006F67E2">
        <w:rPr>
          <w:lang w:val="es-ES_tradnl"/>
        </w:rPr>
        <w:t>: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caso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deber</w:t>
      </w:r>
      <w:r w:rsidRPr="006F67E2">
        <w:rPr>
          <w:lang w:val="es-ES_tradnl"/>
        </w:rPr>
        <w:tab/>
      </w:r>
      <w:r w:rsidRPr="006F67E2">
        <w:rPr>
          <w:lang w:val="es-ES_tradnl"/>
        </w:rPr>
        <w:t>105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Agnieszka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Gw</w:t>
      </w:r>
      <w:r w:rsidRPr="006F67E2">
        <w:rPr>
          <w:lang w:val="es-ES_tradnl"/>
        </w:rPr>
        <w:t>i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z</w:t>
      </w:r>
      <w:r w:rsidRPr="006F67E2">
        <w:rPr>
          <w:lang w:val="es-ES_tradnl"/>
        </w:rPr>
        <w:t>dowska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¿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creatividad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“re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re</w:t>
      </w:r>
      <w:r w:rsidRPr="006F67E2">
        <w:rPr>
          <w:lang w:val="es-ES_tradnl"/>
        </w:rPr>
        <w:t>ación</w:t>
      </w:r>
      <w:r w:rsidRPr="006F67E2">
        <w:rPr>
          <w:lang w:val="es-ES_tradnl"/>
        </w:rPr>
        <w:t>”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fraseológica?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Acerca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proceso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desautomatización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modificación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fraseológicas</w:t>
      </w:r>
      <w:r w:rsidR="006F67E2">
        <w:rPr>
          <w:lang w:val="es-ES_tradnl"/>
        </w:rPr>
        <w:t xml:space="preserve"> </w:t>
      </w:r>
      <w:r w:rsidR="006F67E2">
        <w:rPr>
          <w:lang w:val="es-ES_tradnl"/>
        </w:rPr>
        <w:tab/>
      </w:r>
      <w:r w:rsidRPr="006F67E2">
        <w:rPr>
          <w:lang w:val="es-ES_tradnl"/>
        </w:rPr>
        <w:t>121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Najlaa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Kounitrate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aducción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culturemas,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una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nueva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te</w:t>
      </w:r>
      <w:r w:rsidRPr="006F67E2">
        <w:rPr>
          <w:lang w:val="es-ES_tradnl"/>
        </w:rPr>
        <w:t>nd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ncia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estudios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traducción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ab/>
        <w:t>137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Magdalena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K</w:t>
      </w:r>
      <w:r w:rsidRPr="006F67E2">
        <w:rPr>
          <w:lang w:val="es-ES_tradnl"/>
        </w:rPr>
        <w:t>rz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>ż</w:t>
      </w:r>
      <w:r w:rsidRPr="006F67E2">
        <w:rPr>
          <w:lang w:val="es-ES_tradnl"/>
        </w:rPr>
        <w:t>osta</w:t>
      </w:r>
      <w:r w:rsidRPr="006F67E2">
        <w:rPr>
          <w:lang w:val="es-ES_tradnl"/>
        </w:rPr>
        <w:t>ni</w:t>
      </w:r>
      <w:r w:rsidRPr="006F67E2">
        <w:rPr>
          <w:lang w:val="es-ES_tradnl"/>
        </w:rPr>
        <w:t>ak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¿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qué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nsis</w:t>
      </w:r>
      <w:r w:rsidRPr="006F67E2">
        <w:rPr>
          <w:lang w:val="es-ES_tradnl"/>
        </w:rPr>
        <w:t>te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sc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idad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exámenes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</w:t>
      </w:r>
      <w:r w:rsidRPr="006F67E2">
        <w:rPr>
          <w:lang w:val="es-ES_tradnl"/>
        </w:rPr>
        <w:t>ELE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ar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escolares</w:t>
      </w:r>
      <w:r w:rsidRPr="006F67E2">
        <w:rPr>
          <w:lang w:val="es-ES_tradnl"/>
        </w:rPr>
        <w:t>?</w:t>
      </w:r>
      <w:r w:rsidR="006F67E2">
        <w:rPr>
          <w:lang w:val="es-ES_tradnl"/>
        </w:rPr>
        <w:t xml:space="preserve">  </w:t>
      </w:r>
      <w:r w:rsidRPr="006F67E2">
        <w:rPr>
          <w:lang w:val="es-ES_tradnl"/>
        </w:rPr>
        <w:tab/>
      </w:r>
      <w:r w:rsidRPr="006F67E2">
        <w:rPr>
          <w:lang w:val="es-ES_tradnl"/>
        </w:rPr>
        <w:t>159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Monika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Lisowska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Acerca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ará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ter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cuantificador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locuciones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adverbiales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preposición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‘hasta’</w:t>
      </w:r>
      <w:r w:rsidRPr="006F67E2">
        <w:rPr>
          <w:lang w:val="es-ES_tradnl"/>
        </w:rPr>
        <w:tab/>
      </w:r>
      <w:r w:rsidRPr="006F67E2">
        <w:rPr>
          <w:lang w:val="es-ES_tradnl"/>
        </w:rPr>
        <w:t>173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Ángel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López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García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Monocentrismo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policentrismo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ngua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española</w:t>
      </w:r>
      <w:r w:rsidRPr="006F67E2">
        <w:rPr>
          <w:lang w:val="es-ES_tradnl"/>
        </w:rPr>
        <w:tab/>
        <w:t>185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Antonio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María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López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González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Diferencias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morfo</w:t>
      </w:r>
      <w:r w:rsidRPr="006F67E2">
        <w:rPr>
          <w:lang w:val="es-ES_tradnl"/>
        </w:rPr>
        <w:t>si</w:t>
      </w:r>
      <w:r w:rsidRPr="006F67E2">
        <w:rPr>
          <w:lang w:val="es-ES_tradnl"/>
        </w:rPr>
        <w:t>ntá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ic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entre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España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in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un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capítulo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erie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friends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(1999)</w:t>
      </w:r>
      <w:r w:rsidRPr="006F67E2">
        <w:rPr>
          <w:lang w:val="es-ES_tradnl"/>
        </w:rPr>
        <w:tab/>
        <w:t>207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Leticia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López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Ma</w:t>
      </w:r>
      <w:r w:rsidRPr="006F67E2">
        <w:rPr>
          <w:lang w:val="es-ES_tradnl"/>
        </w:rPr>
        <w:t>rtínez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difusión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cul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u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aula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través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erie</w:t>
      </w:r>
      <w:r w:rsidRPr="006F67E2">
        <w:rPr>
          <w:lang w:val="es-ES_tradnl"/>
        </w:rPr>
        <w:t>s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televisión</w:t>
      </w:r>
      <w:r w:rsidRPr="006F67E2">
        <w:rPr>
          <w:lang w:val="es-ES_tradnl"/>
        </w:rPr>
        <w:tab/>
      </w:r>
      <w:r w:rsidRPr="006F67E2">
        <w:rPr>
          <w:lang w:val="es-ES_tradnl"/>
        </w:rPr>
        <w:t>225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Pablo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</w:t>
      </w:r>
      <w:r w:rsidRPr="006F67E2">
        <w:rPr>
          <w:lang w:val="es-ES_tradnl"/>
        </w:rPr>
        <w:t>artínez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Menéndez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teoría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puerta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enseñanza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lenguas</w:t>
      </w:r>
      <w:r w:rsidRPr="006F67E2">
        <w:rPr>
          <w:lang w:val="es-ES_tradnl"/>
        </w:rPr>
        <w:tab/>
        <w:t>237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Fermín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Ma</w:t>
      </w:r>
      <w:r w:rsidRPr="006F67E2">
        <w:rPr>
          <w:lang w:val="es-ES_tradnl"/>
        </w:rPr>
        <w:t>rt</w:t>
      </w:r>
      <w:r w:rsidRPr="006F67E2">
        <w:rPr>
          <w:lang w:val="es-ES_tradnl"/>
        </w:rPr>
        <w:t>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Eliche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tradición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gramatical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sistema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verbal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enseñanza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temporalidad</w:t>
      </w:r>
      <w:r w:rsidRPr="006F67E2">
        <w:rPr>
          <w:lang w:val="es-ES_tradnl"/>
        </w:rPr>
        <w:tab/>
      </w:r>
      <w:r w:rsidRPr="006F67E2">
        <w:rPr>
          <w:lang w:val="es-ES_tradnl"/>
        </w:rPr>
        <w:t>249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M</w:t>
      </w:r>
      <w:r w:rsidRPr="006F67E2">
        <w:rPr>
          <w:lang w:val="es-ES_tradnl"/>
        </w:rPr>
        <w:t>.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Vict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ri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Mateo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García,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Francisco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García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Marcos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ter</w:t>
      </w:r>
      <w:r w:rsidRPr="006F67E2">
        <w:rPr>
          <w:lang w:val="es-ES_tradnl"/>
        </w:rPr>
        <w:t>nancia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ó</w:t>
      </w:r>
      <w:r w:rsidRPr="006F67E2">
        <w:rPr>
          <w:lang w:val="es-ES_tradnl"/>
        </w:rPr>
        <w:t>dig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emotividad.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ro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ó</w:t>
      </w:r>
      <w:r w:rsidRPr="006F67E2">
        <w:rPr>
          <w:lang w:val="es-ES_tradnl"/>
        </w:rPr>
        <w:t>si</w:t>
      </w:r>
      <w:r w:rsidRPr="006F67E2">
        <w:rPr>
          <w:lang w:val="es-ES_tradnl"/>
        </w:rPr>
        <w:t>to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contacto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lingüís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ic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catalán-español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ab/>
      </w:r>
      <w:r w:rsidRPr="006F67E2">
        <w:rPr>
          <w:lang w:val="es-ES_tradnl"/>
        </w:rPr>
        <w:t>263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Ma</w:t>
      </w:r>
      <w:r w:rsidRPr="006F67E2">
        <w:rPr>
          <w:lang w:val="es-ES_tradnl"/>
        </w:rPr>
        <w:t>rt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Minkiewicz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M</w:t>
      </w:r>
      <w:r w:rsidRPr="006F67E2">
        <w:rPr>
          <w:lang w:val="es-ES_tradnl"/>
        </w:rPr>
        <w:t>ente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bilingüe,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cerebro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bilingüe</w:t>
      </w:r>
      <w:r w:rsidRPr="006F67E2">
        <w:rPr>
          <w:lang w:val="es-ES_tradnl"/>
        </w:rPr>
        <w:tab/>
      </w:r>
      <w:r w:rsidRPr="006F67E2">
        <w:rPr>
          <w:lang w:val="es-ES_tradnl"/>
        </w:rPr>
        <w:t>275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Véselka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é</w:t>
      </w:r>
      <w:r w:rsidRPr="006F67E2">
        <w:rPr>
          <w:lang w:val="es-ES_tradnl"/>
        </w:rPr>
        <w:t>nkova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modificación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fraseológica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obra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literaria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to</w:t>
      </w:r>
      <w:r w:rsidRPr="006F67E2">
        <w:rPr>
          <w:lang w:val="es-ES_tradnl"/>
        </w:rPr>
        <w:t>nio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Ga</w:t>
      </w:r>
      <w:r w:rsidRPr="006F67E2">
        <w:rPr>
          <w:lang w:val="es-ES_tradnl"/>
        </w:rPr>
        <w:t>la</w:t>
      </w:r>
      <w:r w:rsidR="006F67E2">
        <w:rPr>
          <w:lang w:val="es-ES_tradnl"/>
        </w:rPr>
        <w:tab/>
      </w:r>
      <w:r w:rsidRPr="006F67E2">
        <w:rPr>
          <w:lang w:val="es-ES_tradnl"/>
        </w:rPr>
        <w:t>285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Wi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cze</w:t>
      </w:r>
      <w:r w:rsidRPr="006F67E2">
        <w:rPr>
          <w:lang w:val="es-ES_tradnl"/>
        </w:rPr>
        <w:t xml:space="preserve">sław </w:t>
      </w:r>
      <w:r w:rsidRPr="006F67E2">
        <w:rPr>
          <w:lang w:val="es-ES_tradnl"/>
        </w:rPr>
        <w:t>Now</w:t>
      </w:r>
      <w:r w:rsidRPr="006F67E2">
        <w:rPr>
          <w:lang w:val="es-ES_tradnl"/>
        </w:rPr>
        <w:t>i</w:t>
      </w:r>
      <w:r w:rsidRPr="006F67E2">
        <w:rPr>
          <w:lang w:val="es-ES_tradnl"/>
        </w:rPr>
        <w:t>kow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torno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al</w:t>
      </w:r>
      <w:r w:rsidRPr="006F67E2">
        <w:rPr>
          <w:lang w:val="es-ES_tradnl"/>
        </w:rPr>
        <w:t>ter</w:t>
      </w:r>
      <w:r w:rsidRPr="006F67E2">
        <w:rPr>
          <w:lang w:val="es-ES_tradnl"/>
        </w:rPr>
        <w:t>nancia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modal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después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hecho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q</w:t>
      </w:r>
      <w:r w:rsidRPr="006F67E2">
        <w:rPr>
          <w:lang w:val="es-ES_tradnl"/>
        </w:rPr>
        <w:t>ue</w:t>
      </w:r>
      <w:r w:rsidRPr="006F67E2">
        <w:rPr>
          <w:lang w:val="es-ES_tradnl"/>
        </w:rPr>
        <w:tab/>
      </w:r>
      <w:r w:rsidRPr="006F67E2">
        <w:rPr>
          <w:lang w:val="es-ES_tradnl"/>
        </w:rPr>
        <w:t>295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Anet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Pawlak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Sobre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signos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pun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uación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an</w:t>
      </w:r>
      <w:r w:rsidRPr="006F67E2">
        <w:rPr>
          <w:lang w:val="es-ES_tradnl"/>
        </w:rPr>
        <w:t>te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publicación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ortografía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lengua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(</w:t>
      </w:r>
      <w:r w:rsidRPr="006F67E2">
        <w:rPr>
          <w:lang w:val="es-ES_tradnl"/>
        </w:rPr>
        <w:t>2010</w:t>
      </w:r>
      <w:r w:rsidRPr="006F67E2">
        <w:rPr>
          <w:lang w:val="es-ES_tradnl"/>
        </w:rPr>
        <w:t>)</w:t>
      </w:r>
      <w:r w:rsidRPr="006F67E2">
        <w:rPr>
          <w:lang w:val="es-ES_tradnl"/>
        </w:rPr>
        <w:tab/>
      </w:r>
      <w:r w:rsidRPr="006F67E2">
        <w:rPr>
          <w:lang w:val="es-ES_tradnl"/>
        </w:rPr>
        <w:t>313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Janusz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Pawlik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Grado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modificador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minal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variación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artículo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ab/>
      </w:r>
      <w:r w:rsidRPr="006F67E2">
        <w:rPr>
          <w:lang w:val="es-ES_tradnl"/>
        </w:rPr>
        <w:t>325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Jochen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Plötz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in</w:t>
      </w:r>
      <w:r w:rsidRPr="006F67E2">
        <w:rPr>
          <w:lang w:val="es-ES_tradnl"/>
        </w:rPr>
        <w:t>tér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rete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lipill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entre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incas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conquistadores</w:t>
      </w:r>
      <w:r w:rsidRPr="006F67E2">
        <w:rPr>
          <w:lang w:val="es-ES_tradnl"/>
        </w:rPr>
        <w:tab/>
        <w:t>339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M</w:t>
      </w:r>
      <w:r w:rsidRPr="006F67E2">
        <w:rPr>
          <w:lang w:val="es-ES_tradnl"/>
        </w:rPr>
        <w:t>.ª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Paula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Santalla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í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/</w:t>
      </w:r>
      <w:r w:rsidRPr="006F67E2">
        <w:rPr>
          <w:lang w:val="es-ES_tradnl"/>
        </w:rPr>
        <w:t>Eva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</w:t>
      </w:r>
      <w:r w:rsidRPr="006F67E2">
        <w:rPr>
          <w:lang w:val="es-ES_tradnl"/>
        </w:rPr>
        <w:t>.ª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Domínguez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Noya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construcciones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comparativas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lastRenderedPageBreak/>
        <w:t>corpus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 xml:space="preserve">sintácticamente 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anotados</w:t>
      </w:r>
      <w:r w:rsidRPr="006F67E2">
        <w:rPr>
          <w:lang w:val="es-ES_tradnl"/>
        </w:rPr>
        <w:tab/>
      </w:r>
      <w:r w:rsidRPr="006F67E2">
        <w:rPr>
          <w:lang w:val="es-ES_tradnl"/>
        </w:rPr>
        <w:t>357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Magdalena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ę</w:t>
      </w:r>
      <w:r w:rsidRPr="006F67E2">
        <w:rPr>
          <w:lang w:val="es-ES_tradnl"/>
        </w:rPr>
        <w:t>d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k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Metáforas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visuales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multimodales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viñetas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prensa: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torno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imag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crisis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1-o</w:t>
      </w:r>
      <w:r w:rsidRPr="006F67E2">
        <w:rPr>
          <w:lang w:val="es-ES_tradnl"/>
        </w:rPr>
        <w:tab/>
      </w:r>
      <w:r w:rsidRPr="006F67E2">
        <w:rPr>
          <w:lang w:val="es-ES_tradnl"/>
        </w:rPr>
        <w:t>375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Wit</w:t>
      </w:r>
      <w:r w:rsidRPr="006F67E2">
        <w:rPr>
          <w:lang w:val="es-ES_tradnl"/>
        </w:rPr>
        <w:t>old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Sob</w:t>
      </w:r>
      <w:r w:rsidRPr="006F67E2">
        <w:rPr>
          <w:lang w:val="es-ES_tradnl"/>
        </w:rPr>
        <w:t>cz</w:t>
      </w:r>
      <w:r w:rsidRPr="006F67E2">
        <w:rPr>
          <w:lang w:val="es-ES_tradnl"/>
        </w:rPr>
        <w:t>ak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Sobre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presente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pro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futuro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contemporáneo</w:t>
      </w:r>
      <w:r w:rsidRPr="006F67E2">
        <w:rPr>
          <w:lang w:val="es-ES_tradnl"/>
        </w:rPr>
        <w:tab/>
      </w:r>
      <w:r w:rsidRPr="006F67E2">
        <w:rPr>
          <w:lang w:val="es-ES_tradnl"/>
        </w:rPr>
        <w:t>391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Piotr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So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b</w:t>
      </w:r>
      <w:r w:rsidRPr="006F67E2">
        <w:rPr>
          <w:lang w:val="es-ES_tradnl"/>
        </w:rPr>
        <w:t>et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vesreísmos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m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ba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léxicas</w:t>
      </w:r>
      <w:r w:rsidR="006F67E2">
        <w:rPr>
          <w:lang w:val="es-ES_tradnl"/>
        </w:rPr>
        <w:t xml:space="preserve">  </w:t>
      </w:r>
      <w:r w:rsidRPr="006F67E2">
        <w:rPr>
          <w:lang w:val="es-ES_tradnl"/>
        </w:rPr>
        <w:tab/>
      </w:r>
      <w:r w:rsidRPr="006F67E2">
        <w:rPr>
          <w:lang w:val="es-ES_tradnl"/>
        </w:rPr>
        <w:t>403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Begoña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Souviron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López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Hacia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un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nuevo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nc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to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aprendizaje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lenguas</w:t>
      </w:r>
      <w:r w:rsidRPr="006F67E2">
        <w:rPr>
          <w:lang w:val="es-ES_tradnl"/>
        </w:rPr>
        <w:tab/>
      </w:r>
      <w:r w:rsidRPr="006F67E2">
        <w:rPr>
          <w:lang w:val="es-ES_tradnl"/>
        </w:rPr>
        <w:t>417</w:t>
      </w:r>
    </w:p>
    <w:p w:rsidR="00CF4A85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Ewa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Ur</w:t>
      </w:r>
      <w:r w:rsidRPr="006F67E2">
        <w:rPr>
          <w:lang w:val="es-ES_tradnl"/>
        </w:rPr>
        <w:t>ba</w:t>
      </w:r>
      <w:r w:rsidRPr="006F67E2">
        <w:rPr>
          <w:lang w:val="es-ES_tradnl"/>
        </w:rPr>
        <w:t>ńcz</w:t>
      </w:r>
      <w:r w:rsidRPr="006F67E2">
        <w:rPr>
          <w:lang w:val="es-ES_tradnl"/>
        </w:rPr>
        <w:t>yk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Desafíos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ju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isdiccional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Estudio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sobre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(</w:t>
      </w:r>
      <w:r w:rsidRPr="006F67E2">
        <w:rPr>
          <w:lang w:val="es-ES_tradnl"/>
        </w:rPr>
        <w:t>im</w:t>
      </w:r>
      <w:r w:rsidRPr="006F67E2">
        <w:rPr>
          <w:lang w:val="es-ES_tradnl"/>
        </w:rPr>
        <w:t>)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sibilidad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equivalencia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traducción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resoluciones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al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>lac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ab/>
        <w:t>429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Ma</w:t>
      </w:r>
      <w:r w:rsidRPr="006F67E2">
        <w:rPr>
          <w:lang w:val="es-ES_tradnl"/>
        </w:rPr>
        <w:t>rt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Wicherek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Los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prefijos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de-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</w:t>
      </w:r>
      <w:r w:rsidRPr="006F67E2">
        <w:rPr>
          <w:lang w:val="es-ES_tradnl"/>
        </w:rPr>
        <w:t>es-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ngua</w:t>
      </w:r>
      <w:r w:rsidRPr="006F67E2">
        <w:rPr>
          <w:lang w:val="es-ES_tradnl"/>
        </w:rPr>
        <w:t>je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ju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ídic</w:t>
      </w:r>
      <w:r w:rsidRPr="006F67E2">
        <w:rPr>
          <w:lang w:val="es-ES_tradnl"/>
        </w:rPr>
        <w:t>o</w:t>
      </w:r>
      <w:r w:rsidRPr="006F67E2">
        <w:rPr>
          <w:lang w:val="es-ES_tradnl"/>
        </w:rPr>
        <w:tab/>
        <w:t>441</w:t>
      </w:r>
    </w:p>
    <w:p w:rsidR="00CF4A85" w:rsidRPr="006F67E2" w:rsidRDefault="007C4842" w:rsidP="006F67E2">
      <w:pPr>
        <w:ind w:left="709" w:hanging="720"/>
        <w:rPr>
          <w:lang w:val="es-ES_tradnl"/>
        </w:rPr>
      </w:pPr>
      <w:r w:rsidRPr="006F67E2">
        <w:rPr>
          <w:lang w:val="es-ES_tradnl"/>
        </w:rPr>
        <w:t>A</w:t>
      </w:r>
      <w:r w:rsidRPr="006F67E2">
        <w:rPr>
          <w:lang w:val="es-ES_tradnl"/>
        </w:rPr>
        <w:t>ndr</w:t>
      </w:r>
      <w:r w:rsidRPr="006F67E2">
        <w:rPr>
          <w:lang w:val="es-ES_tradnl"/>
        </w:rPr>
        <w:t>zej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Zi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liński</w:t>
      </w:r>
      <w:r w:rsidR="006F67E2">
        <w:rPr>
          <w:lang w:val="es-ES_tradnl"/>
        </w:rPr>
        <w:t xml:space="preserve">, </w:t>
      </w:r>
      <w:r w:rsidRPr="006F67E2">
        <w:rPr>
          <w:lang w:val="es-ES_tradnl"/>
        </w:rPr>
        <w:t>“</w:t>
      </w:r>
      <w:r w:rsidRPr="006F67E2">
        <w:rPr>
          <w:lang w:val="es-ES_tradnl"/>
        </w:rPr>
        <w:t>P</w:t>
      </w:r>
      <w:r w:rsidRPr="006F67E2">
        <w:rPr>
          <w:lang w:val="es-ES_tradnl"/>
        </w:rPr>
        <w:t>or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si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vemos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lu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g</w:t>
      </w:r>
      <w:r w:rsidRPr="006F67E2">
        <w:rPr>
          <w:lang w:val="es-ES_tradnl"/>
        </w:rPr>
        <w:t>o: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buenos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días</w:t>
      </w:r>
      <w:r w:rsidRPr="006F67E2">
        <w:rPr>
          <w:lang w:val="es-ES_tradnl"/>
        </w:rPr>
        <w:t>,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buenas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t</w:t>
      </w:r>
      <w:r w:rsidRPr="006F67E2">
        <w:rPr>
          <w:lang w:val="es-ES_tradnl"/>
        </w:rPr>
        <w:t>a</w:t>
      </w:r>
      <w:r w:rsidRPr="006F67E2">
        <w:rPr>
          <w:lang w:val="es-ES_tradnl"/>
        </w:rPr>
        <w:t>r</w:t>
      </w:r>
      <w:r w:rsidRPr="006F67E2">
        <w:rPr>
          <w:lang w:val="es-ES_tradnl"/>
        </w:rPr>
        <w:t>d</w:t>
      </w:r>
      <w:r w:rsidRPr="006F67E2">
        <w:rPr>
          <w:lang w:val="es-ES_tradnl"/>
        </w:rPr>
        <w:t>e</w:t>
      </w:r>
      <w:r w:rsidRPr="006F67E2">
        <w:rPr>
          <w:lang w:val="es-ES_tradnl"/>
        </w:rPr>
        <w:t>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buenas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noches</w:t>
      </w:r>
      <w:r w:rsidRPr="006F67E2">
        <w:rPr>
          <w:lang w:val="es-ES_tradnl"/>
        </w:rPr>
        <w:t>”.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Sobre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origen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y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el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desarrollo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fórmulas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de</w:t>
      </w:r>
      <w:r w:rsidR="006F67E2">
        <w:rPr>
          <w:lang w:val="es-ES_tradnl"/>
        </w:rPr>
        <w:t xml:space="preserve"> </w:t>
      </w:r>
      <w:r w:rsidRPr="006F67E2">
        <w:rPr>
          <w:lang w:val="es-ES_tradnl"/>
        </w:rPr>
        <w:t>saludo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en</w:t>
      </w:r>
      <w:r w:rsidRPr="006F67E2">
        <w:rPr>
          <w:lang w:val="es-ES_tradnl"/>
        </w:rPr>
        <w:t xml:space="preserve"> </w:t>
      </w:r>
      <w:r w:rsidRPr="006F67E2">
        <w:rPr>
          <w:lang w:val="es-ES_tradnl"/>
        </w:rPr>
        <w:t>español</w:t>
      </w:r>
      <w:r w:rsidRPr="006F67E2">
        <w:rPr>
          <w:lang w:val="es-ES_tradnl"/>
        </w:rPr>
        <w:tab/>
      </w:r>
      <w:r w:rsidRPr="006F67E2">
        <w:rPr>
          <w:lang w:val="es-ES_tradnl"/>
        </w:rPr>
        <w:t>457</w:t>
      </w:r>
    </w:p>
    <w:sectPr w:rsidR="00CF4A85" w:rsidRPr="006F67E2" w:rsidSect="006F67E2">
      <w:footerReference w:type="even" r:id="rId7"/>
      <w:pgSz w:w="9530" w:h="13610" w:code="205"/>
      <w:pgMar w:top="958" w:right="567" w:bottom="278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42" w:rsidRDefault="007C4842">
      <w:r>
        <w:separator/>
      </w:r>
    </w:p>
  </w:endnote>
  <w:endnote w:type="continuationSeparator" w:id="0">
    <w:p w:rsidR="007C4842" w:rsidRDefault="007C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85" w:rsidRDefault="00CF4A8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42" w:rsidRDefault="007C4842">
      <w:r>
        <w:separator/>
      </w:r>
    </w:p>
  </w:footnote>
  <w:footnote w:type="continuationSeparator" w:id="0">
    <w:p w:rsidR="007C4842" w:rsidRDefault="007C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4A85"/>
    <w:rsid w:val="006F67E2"/>
    <w:rsid w:val="007C4842"/>
    <w:rsid w:val="00C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11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"/>
      <w:ind w:left="1514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6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7E2"/>
  </w:style>
  <w:style w:type="paragraph" w:styleId="Stopka">
    <w:name w:val="footer"/>
    <w:basedOn w:val="Normalny"/>
    <w:link w:val="StopkaZnak"/>
    <w:uiPriority w:val="99"/>
    <w:unhideWhenUsed/>
    <w:rsid w:val="006F6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2020-12-11T10:00:00Z</dcterms:created>
  <dcterms:modified xsi:type="dcterms:W3CDTF">2020-12-11T09:09:00Z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2020-12-11T00:00:00Z</vt:filetime>
  </property>
</Properties>
</file>