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Wstęp</w:t>
      </w:r>
      <w:r w:rsidRPr="007A05A7">
        <w:rPr>
          <w:lang w:val="pl-PL"/>
        </w:rPr>
        <w:tab/>
        <w:t>9</w:t>
      </w:r>
    </w:p>
    <w:p w:rsidR="007A05A7" w:rsidRPr="007A05A7" w:rsidRDefault="007A05A7" w:rsidP="007A05A7">
      <w:pPr>
        <w:ind w:left="851" w:hanging="720"/>
        <w:rPr>
          <w:lang w:val="pl-PL"/>
        </w:rPr>
      </w:pPr>
    </w:p>
    <w:p w:rsidR="00D55711" w:rsidRPr="007A05A7" w:rsidRDefault="007A05A7" w:rsidP="007A05A7">
      <w:pPr>
        <w:ind w:left="851" w:hanging="720"/>
        <w:rPr>
          <w:b/>
          <w:lang w:val="pl-PL"/>
        </w:rPr>
      </w:pPr>
      <w:r w:rsidRPr="007A05A7">
        <w:rPr>
          <w:b/>
          <w:lang w:val="pl-PL"/>
        </w:rPr>
        <w:t xml:space="preserve">Część I. </w:t>
      </w:r>
      <w:r w:rsidRPr="007A05A7">
        <w:rPr>
          <w:b/>
          <w:lang w:val="pl-PL"/>
        </w:rPr>
        <w:t>Pojęcie, rodzaje i fazy (kontr-)rewolucji oświatowej</w:t>
      </w:r>
      <w:r w:rsidRPr="007A05A7">
        <w:rPr>
          <w:b/>
          <w:lang w:val="pl-PL"/>
        </w:rPr>
        <w:tab/>
        <w:t>23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Prawo podwójnego odbicia w polityce oświatowe</w:t>
      </w:r>
      <w:r w:rsidRPr="007A05A7">
        <w:rPr>
          <w:lang w:val="pl-PL"/>
        </w:rPr>
        <w:tab/>
        <w:t>29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 xml:space="preserve">Przesłanki filozoficzno-ideologiczne, </w:t>
      </w:r>
      <w:proofErr w:type="spellStart"/>
      <w:r w:rsidRPr="007A05A7">
        <w:rPr>
          <w:lang w:val="pl-PL"/>
        </w:rPr>
        <w:t>aksjonormatywne</w:t>
      </w:r>
      <w:proofErr w:type="spellEnd"/>
      <w:r w:rsidRPr="007A05A7">
        <w:rPr>
          <w:lang w:val="pl-PL"/>
        </w:rPr>
        <w:t xml:space="preserve"> kontrrewolucji oświatowej</w:t>
      </w:r>
      <w:r w:rsidRPr="007A05A7">
        <w:rPr>
          <w:lang w:val="pl-PL"/>
        </w:rPr>
        <w:tab/>
        <w:t>39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Wstępna batalia ideologiczna o polską szkołę</w:t>
      </w:r>
      <w:r w:rsidRPr="007A05A7">
        <w:rPr>
          <w:lang w:val="pl-PL"/>
        </w:rPr>
        <w:tab/>
        <w:t>43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Zasadnicza fala ideologicznej kontrrewolucji oświatowej prawicy</w:t>
      </w:r>
      <w:r w:rsidRPr="007A05A7">
        <w:rPr>
          <w:lang w:val="pl-PL"/>
        </w:rPr>
        <w:tab/>
      </w:r>
      <w:r w:rsidRPr="007A05A7">
        <w:rPr>
          <w:lang w:val="pl-PL"/>
        </w:rPr>
        <w:t>63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 xml:space="preserve">1. Zmiany ustrojowe </w:t>
      </w:r>
      <w:r w:rsidRPr="007A05A7">
        <w:rPr>
          <w:lang w:val="pl-PL"/>
        </w:rPr>
        <w:t>i organizacyjne w szkolnictwie</w:t>
      </w:r>
      <w:r w:rsidRPr="007A05A7">
        <w:rPr>
          <w:lang w:val="pl-PL"/>
        </w:rPr>
        <w:tab/>
        <w:t>69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2. Biurokracja</w:t>
      </w:r>
      <w:r w:rsidRPr="007A05A7">
        <w:rPr>
          <w:lang w:val="pl-PL"/>
        </w:rPr>
        <w:tab/>
        <w:t>74</w:t>
      </w:r>
    </w:p>
    <w:p w:rsidR="00D55711" w:rsidRPr="007A05A7" w:rsidRDefault="007A05A7" w:rsidP="007A05A7">
      <w:pPr>
        <w:ind w:left="851" w:hanging="720"/>
        <w:rPr>
          <w:lang w:val="pl-PL"/>
        </w:rPr>
      </w:pPr>
      <w:r>
        <w:rPr>
          <w:lang w:val="pl-PL"/>
        </w:rPr>
        <w:t xml:space="preserve">3. </w:t>
      </w:r>
      <w:r w:rsidRPr="007A05A7">
        <w:rPr>
          <w:lang w:val="pl-PL"/>
        </w:rPr>
        <w:t>Deprecjacja nauczycieli (stymulowana) przez urzędników resortu edukacji</w:t>
      </w:r>
      <w:r w:rsidRPr="007A05A7">
        <w:rPr>
          <w:lang w:val="pl-PL"/>
        </w:rPr>
        <w:tab/>
      </w:r>
      <w:r w:rsidRPr="007A05A7">
        <w:rPr>
          <w:lang w:val="pl-PL"/>
        </w:rPr>
        <w:t>76</w:t>
      </w:r>
    </w:p>
    <w:p w:rsidR="00D55711" w:rsidRPr="007A05A7" w:rsidRDefault="007A05A7" w:rsidP="007A05A7">
      <w:pPr>
        <w:ind w:left="851" w:hanging="720"/>
        <w:rPr>
          <w:lang w:val="pl-PL"/>
        </w:rPr>
      </w:pPr>
      <w:r>
        <w:rPr>
          <w:lang w:val="pl-PL"/>
        </w:rPr>
        <w:t xml:space="preserve">4. </w:t>
      </w:r>
      <w:r w:rsidRPr="007A05A7">
        <w:rPr>
          <w:lang w:val="pl-PL"/>
        </w:rPr>
        <w:t>Ograniczenie nauczycielskich innowacji dydaktycznych</w:t>
      </w:r>
      <w:r w:rsidRPr="007A05A7">
        <w:rPr>
          <w:lang w:val="pl-PL"/>
        </w:rPr>
        <w:tab/>
        <w:t>84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5. Podręczniki szkolne</w:t>
      </w:r>
      <w:r w:rsidRPr="007A05A7">
        <w:rPr>
          <w:lang w:val="pl-PL"/>
        </w:rPr>
        <w:tab/>
        <w:t>85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6. Przedmioty szkolne</w:t>
      </w:r>
      <w:r w:rsidRPr="007A05A7">
        <w:rPr>
          <w:lang w:val="pl-PL"/>
        </w:rPr>
        <w:tab/>
        <w:t>87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7. Egzaminy zewnętrzne</w:t>
      </w:r>
      <w:r w:rsidRPr="007A05A7">
        <w:rPr>
          <w:lang w:val="pl-PL"/>
        </w:rPr>
        <w:tab/>
        <w:t>88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8. Monitoring w szkołach</w:t>
      </w:r>
      <w:r w:rsidRPr="007A05A7">
        <w:rPr>
          <w:lang w:val="pl-PL"/>
        </w:rPr>
        <w:tab/>
        <w:t>88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9. Odwracanie uwagi opozycji</w:t>
      </w:r>
      <w:r w:rsidRPr="007A05A7">
        <w:rPr>
          <w:lang w:val="pl-PL"/>
        </w:rPr>
        <w:tab/>
        <w:t>89</w:t>
      </w:r>
    </w:p>
    <w:p w:rsidR="00D55711" w:rsidRPr="007A05A7" w:rsidRDefault="007A05A7" w:rsidP="007A05A7">
      <w:pPr>
        <w:ind w:left="851" w:hanging="720"/>
        <w:rPr>
          <w:lang w:val="pl-PL"/>
        </w:rPr>
      </w:pPr>
      <w:r>
        <w:rPr>
          <w:lang w:val="pl-PL"/>
        </w:rPr>
        <w:t xml:space="preserve">10. </w:t>
      </w:r>
      <w:r w:rsidRPr="007A05A7">
        <w:rPr>
          <w:lang w:val="pl-PL"/>
        </w:rPr>
        <w:t>Propagandowa afirmacja reformy oraz pozorowane debaty społeczne</w:t>
      </w:r>
      <w:r w:rsidRPr="007A05A7">
        <w:rPr>
          <w:lang w:val="pl-PL"/>
        </w:rPr>
        <w:tab/>
      </w:r>
      <w:r w:rsidRPr="007A05A7">
        <w:rPr>
          <w:lang w:val="pl-PL"/>
        </w:rPr>
        <w:t>93</w:t>
      </w:r>
    </w:p>
    <w:p w:rsidR="00D55711" w:rsidRPr="007A05A7" w:rsidRDefault="007A05A7" w:rsidP="007A05A7">
      <w:pPr>
        <w:ind w:left="851" w:hanging="720"/>
        <w:rPr>
          <w:lang w:val="pl-PL"/>
        </w:rPr>
      </w:pPr>
      <w:r>
        <w:rPr>
          <w:lang w:val="pl-PL"/>
        </w:rPr>
        <w:t xml:space="preserve">11. </w:t>
      </w:r>
      <w:r w:rsidRPr="007A05A7">
        <w:rPr>
          <w:lang w:val="pl-PL"/>
        </w:rPr>
        <w:t>Opór wobec kontrrewolucji oświatowej</w:t>
      </w:r>
      <w:r w:rsidRPr="007A05A7">
        <w:rPr>
          <w:lang w:val="pl-PL"/>
        </w:rPr>
        <w:tab/>
        <w:t>109</w:t>
      </w:r>
    </w:p>
    <w:p w:rsidR="007A05A7" w:rsidRDefault="007A05A7" w:rsidP="007A05A7">
      <w:pPr>
        <w:ind w:left="851" w:hanging="720"/>
        <w:rPr>
          <w:lang w:val="pl-PL"/>
        </w:rPr>
      </w:pPr>
    </w:p>
    <w:p w:rsidR="00D55711" w:rsidRPr="007A05A7" w:rsidRDefault="007A05A7" w:rsidP="007A05A7">
      <w:pPr>
        <w:ind w:left="851" w:hanging="720"/>
        <w:rPr>
          <w:b/>
          <w:lang w:val="pl-PL"/>
        </w:rPr>
      </w:pPr>
      <w:r w:rsidRPr="007A05A7">
        <w:rPr>
          <w:b/>
          <w:lang w:val="pl-PL"/>
        </w:rPr>
        <w:t xml:space="preserve">Część II. </w:t>
      </w:r>
      <w:r w:rsidRPr="007A05A7">
        <w:rPr>
          <w:b/>
          <w:lang w:val="pl-PL"/>
        </w:rPr>
        <w:t>Społeczno-polityczne i pedagogiczne konteksty polityki oświatowej prawicy</w:t>
      </w:r>
      <w:r w:rsidRPr="007A05A7">
        <w:rPr>
          <w:b/>
          <w:lang w:val="pl-PL"/>
        </w:rPr>
        <w:tab/>
        <w:t>133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Na początku była… zdrada</w:t>
      </w:r>
      <w:r w:rsidRPr="007A05A7">
        <w:rPr>
          <w:lang w:val="pl-PL"/>
        </w:rPr>
        <w:tab/>
        <w:t>135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Socjotechnika pozorowania zmian w edukacji</w:t>
      </w:r>
      <w:r w:rsidRPr="007A05A7">
        <w:rPr>
          <w:lang w:val="pl-PL"/>
        </w:rPr>
        <w:tab/>
        <w:t>145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Diagnoza kryzysu neoliberalnej samorządności w szkolnictwie III RP</w:t>
      </w:r>
      <w:r w:rsidRPr="007A05A7">
        <w:rPr>
          <w:lang w:val="pl-PL"/>
        </w:rPr>
        <w:tab/>
        <w:t>153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Typologia</w:t>
      </w:r>
      <w:r w:rsidRPr="007A05A7">
        <w:rPr>
          <w:lang w:val="pl-PL"/>
        </w:rPr>
        <w:t xml:space="preserve"> postaw w społeczeństw</w:t>
      </w:r>
      <w:r w:rsidRPr="007A05A7">
        <w:rPr>
          <w:lang w:val="pl-PL"/>
        </w:rPr>
        <w:t xml:space="preserve">ie wobec </w:t>
      </w:r>
      <w:proofErr w:type="spellStart"/>
      <w:r w:rsidRPr="007A05A7">
        <w:rPr>
          <w:lang w:val="pl-PL"/>
        </w:rPr>
        <w:t>anokracji</w:t>
      </w:r>
      <w:proofErr w:type="spellEnd"/>
      <w:r w:rsidRPr="007A05A7">
        <w:rPr>
          <w:lang w:val="pl-PL"/>
        </w:rPr>
        <w:tab/>
        <w:t>163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Wykorzystywanie</w:t>
      </w:r>
      <w:r w:rsidRPr="007A05A7">
        <w:rPr>
          <w:lang w:val="pl-PL"/>
        </w:rPr>
        <w:t xml:space="preserve"> naukowców do ideowo-politycznej rewolucji</w:t>
      </w:r>
      <w:r w:rsidRPr="007A05A7">
        <w:rPr>
          <w:lang w:val="pl-PL"/>
        </w:rPr>
        <w:tab/>
        <w:t>175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Oświatowa nowomowa</w:t>
      </w:r>
      <w:r w:rsidRPr="007A05A7">
        <w:rPr>
          <w:lang w:val="pl-PL"/>
        </w:rPr>
        <w:tab/>
        <w:t>185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 xml:space="preserve">Renesans krytyki Nowego </w:t>
      </w:r>
      <w:r w:rsidRPr="007A05A7">
        <w:rPr>
          <w:lang w:val="pl-PL"/>
        </w:rPr>
        <w:t>Wychowania</w:t>
      </w:r>
      <w:r w:rsidRPr="007A05A7">
        <w:rPr>
          <w:lang w:val="pl-PL"/>
        </w:rPr>
        <w:tab/>
      </w:r>
      <w:r w:rsidRPr="007A05A7">
        <w:rPr>
          <w:lang w:val="pl-PL"/>
        </w:rPr>
        <w:t>195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Zakończenie</w:t>
      </w:r>
      <w:r w:rsidRPr="007A05A7">
        <w:rPr>
          <w:lang w:val="pl-PL"/>
        </w:rPr>
        <w:tab/>
        <w:t>199</w:t>
      </w:r>
    </w:p>
    <w:p w:rsidR="007A05A7" w:rsidRDefault="007A05A7" w:rsidP="007A05A7">
      <w:pPr>
        <w:ind w:left="851" w:hanging="720"/>
        <w:rPr>
          <w:lang w:val="pl-PL"/>
        </w:rPr>
      </w:pP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ANEKS</w:t>
      </w:r>
      <w:r w:rsidRPr="007A05A7">
        <w:rPr>
          <w:lang w:val="pl-PL"/>
        </w:rPr>
        <w:tab/>
      </w:r>
      <w:r w:rsidRPr="007A05A7">
        <w:rPr>
          <w:lang w:val="pl-PL"/>
        </w:rPr>
        <w:t>211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Kalendarium prawicowych reform oświatowych w latach 1989–2019</w:t>
      </w:r>
      <w:r w:rsidRPr="007A05A7">
        <w:rPr>
          <w:lang w:val="pl-PL"/>
        </w:rPr>
        <w:tab/>
        <w:t>213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List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otwarty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Zespołu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Pedagogiki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Społecznej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przy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Komitecie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Nauk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Pedagogicznych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PAN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do</w:t>
      </w:r>
      <w:r>
        <w:rPr>
          <w:lang w:val="pl-PL"/>
        </w:rPr>
        <w:t xml:space="preserve"> </w:t>
      </w:r>
      <w:r w:rsidRPr="007A05A7">
        <w:rPr>
          <w:lang w:val="pl-PL"/>
        </w:rPr>
        <w:t>premier Beaty Szydło i minister edukacji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Anny Zalewskiej</w:t>
      </w:r>
      <w:r w:rsidRPr="007A05A7">
        <w:rPr>
          <w:lang w:val="pl-PL"/>
        </w:rPr>
        <w:tab/>
        <w:t>221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WSTYD – w odpowiedzi profesorowi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Tadeuszowi</w:t>
      </w:r>
      <w:r w:rsidRPr="007A05A7">
        <w:rPr>
          <w:lang w:val="pl-PL"/>
        </w:rPr>
        <w:t xml:space="preserve"> Pilchowi</w:t>
      </w:r>
      <w:r w:rsidRPr="007A05A7">
        <w:rPr>
          <w:lang w:val="pl-PL"/>
        </w:rPr>
        <w:tab/>
        <w:t>223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Załącznik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nr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1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Uchwały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nr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21/2015/2016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Rady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Wydziału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Pedagogicznego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15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grud</w:t>
      </w:r>
      <w:r w:rsidRPr="007A05A7">
        <w:rPr>
          <w:lang w:val="pl-PL"/>
        </w:rPr>
        <w:t>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2015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r.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sprawie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stanowiska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Rady</w:t>
      </w:r>
      <w:r w:rsidRPr="007A05A7">
        <w:rPr>
          <w:lang w:val="pl-PL"/>
        </w:rPr>
        <w:t xml:space="preserve"> Wydziału </w:t>
      </w:r>
      <w:r w:rsidRPr="007A05A7">
        <w:rPr>
          <w:lang w:val="pl-PL"/>
        </w:rPr>
        <w:t>Pedagogicznego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Uniwersytetu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War</w:t>
      </w:r>
      <w:r w:rsidRPr="007A05A7">
        <w:rPr>
          <w:lang w:val="pl-PL"/>
        </w:rPr>
        <w:t>szawskiego na temat reform edukacyjnych zaplanowanych przez MEN</w:t>
      </w:r>
      <w:r w:rsidRPr="007A05A7">
        <w:rPr>
          <w:lang w:val="pl-PL"/>
        </w:rPr>
        <w:tab/>
        <w:t>225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Apel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nauczycieli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pracowników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oświaty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środowiska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naukowego,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samorządów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społecz</w:t>
      </w:r>
      <w:r w:rsidRPr="007A05A7">
        <w:rPr>
          <w:lang w:val="pl-PL"/>
        </w:rPr>
        <w:t>ności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lokalnych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wsparcie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akcji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zbierania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podpisów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stabilizacją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oświacie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„Razem</w:t>
      </w:r>
      <w:r>
        <w:rPr>
          <w:lang w:val="pl-PL"/>
        </w:rPr>
        <w:t xml:space="preserve"> </w:t>
      </w:r>
      <w:r w:rsidRPr="007A05A7">
        <w:rPr>
          <w:lang w:val="pl-PL"/>
        </w:rPr>
        <w:t>dla gimnazjów!”</w:t>
      </w:r>
      <w:r w:rsidRPr="007A05A7">
        <w:rPr>
          <w:lang w:val="pl-PL"/>
        </w:rPr>
        <w:tab/>
        <w:t>231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lastRenderedPageBreak/>
        <w:t>Stanowisko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Ogólnopolskiego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Stowarzyszenia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Kadry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Kierowniczej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Oświaty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(OSKKO)</w:t>
      </w:r>
      <w:r w:rsidRPr="007A05A7">
        <w:rPr>
          <w:lang w:val="pl-PL"/>
        </w:rPr>
        <w:t xml:space="preserve"> </w:t>
      </w:r>
      <w:proofErr w:type="spellStart"/>
      <w:r w:rsidRPr="007A05A7">
        <w:rPr>
          <w:lang w:val="pl-PL"/>
        </w:rPr>
        <w:t>ws</w:t>
      </w:r>
      <w:proofErr w:type="spellEnd"/>
      <w:r w:rsidRPr="007A05A7">
        <w:rPr>
          <w:lang w:val="pl-PL"/>
        </w:rPr>
        <w:t>.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 xml:space="preserve">planowanej docelowej likwidacji </w:t>
      </w:r>
      <w:r w:rsidRPr="007A05A7">
        <w:rPr>
          <w:lang w:val="pl-PL"/>
        </w:rPr>
        <w:t>gimnazjów,</w:t>
      </w:r>
      <w:r w:rsidRPr="007A05A7">
        <w:rPr>
          <w:lang w:val="pl-PL"/>
        </w:rPr>
        <w:t xml:space="preserve"> idących za tym zmian w funkcjonowaniu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szkół podstawowych oraz skutków organizacyjnych, finansowych i społecznych tych</w:t>
      </w:r>
      <w:r>
        <w:rPr>
          <w:lang w:val="pl-PL"/>
        </w:rPr>
        <w:t xml:space="preserve"> </w:t>
      </w:r>
      <w:r w:rsidRPr="007A05A7">
        <w:rPr>
          <w:lang w:val="pl-PL"/>
        </w:rPr>
        <w:t>zmian</w:t>
      </w:r>
      <w:r>
        <w:rPr>
          <w:lang w:val="pl-PL"/>
        </w:rPr>
        <w:t xml:space="preserve"> </w:t>
      </w:r>
      <w:r w:rsidRPr="007A05A7">
        <w:rPr>
          <w:lang w:val="pl-PL"/>
        </w:rPr>
        <w:tab/>
        <w:t>233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Ekspertyza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Sekcji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Polityki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Oświatowej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KNP</w:t>
      </w:r>
      <w:r w:rsidRPr="007A05A7">
        <w:rPr>
          <w:lang w:val="pl-PL"/>
        </w:rPr>
        <w:t xml:space="preserve"> PAN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26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kwietnia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2016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r.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dotycząca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projektów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 xml:space="preserve">rozporządzeń MEN w zakresie charakterystyk I </w:t>
      </w:r>
      <w:proofErr w:type="spellStart"/>
      <w:r w:rsidRPr="007A05A7">
        <w:rPr>
          <w:lang w:val="pl-PL"/>
        </w:rPr>
        <w:t>i</w:t>
      </w:r>
      <w:proofErr w:type="spellEnd"/>
      <w:r w:rsidRPr="007A05A7">
        <w:rPr>
          <w:lang w:val="pl-PL"/>
        </w:rPr>
        <w:t xml:space="preserve"> II stopnia Polskiej Ramy Kwalifika</w:t>
      </w:r>
      <w:r w:rsidRPr="007A05A7">
        <w:rPr>
          <w:lang w:val="pl-PL"/>
        </w:rPr>
        <w:t>cyjnej dla wszystkich poziomów kształcenia</w:t>
      </w:r>
      <w:r w:rsidRPr="007A05A7">
        <w:rPr>
          <w:lang w:val="pl-PL"/>
        </w:rPr>
        <w:tab/>
        <w:t>237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List protestacyjny IBE wobec polityki reform ustrojowych w szkolnictwie</w:t>
      </w:r>
      <w:r w:rsidRPr="007A05A7">
        <w:rPr>
          <w:lang w:val="pl-PL"/>
        </w:rPr>
        <w:tab/>
        <w:t>241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Zielonogórskie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Forum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Rodziców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Rad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Rodziców,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DLA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CHAOSU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SZKOLE,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Zatrzymać</w:t>
      </w:r>
      <w:r w:rsidRPr="007A05A7">
        <w:rPr>
          <w:lang w:val="pl-PL"/>
        </w:rPr>
        <w:t xml:space="preserve"> </w:t>
      </w:r>
      <w:proofErr w:type="spellStart"/>
      <w:r w:rsidRPr="007A05A7">
        <w:rPr>
          <w:lang w:val="pl-PL"/>
        </w:rPr>
        <w:t>Edukoszmar</w:t>
      </w:r>
      <w:proofErr w:type="spellEnd"/>
      <w:r w:rsidRPr="007A05A7">
        <w:rPr>
          <w:lang w:val="pl-PL"/>
        </w:rPr>
        <w:t>,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Szkoła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to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eksperyment,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Krajowe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Porozumienie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Rodziców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Rad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Rodziców</w:t>
      </w:r>
      <w:r w:rsidRPr="007A05A7">
        <w:rPr>
          <w:lang w:val="pl-PL"/>
        </w:rPr>
        <w:tab/>
        <w:t>243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Obywatelskie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TEZY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DO REFORMY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EDUKACJI</w:t>
      </w:r>
      <w:r w:rsidRPr="007A05A7">
        <w:rPr>
          <w:lang w:val="pl-PL"/>
        </w:rPr>
        <w:tab/>
        <w:t>245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List rodziców uczniów szkół artystycznych do ministra Piotra Glińskiego</w:t>
      </w:r>
      <w:r w:rsidRPr="007A05A7">
        <w:rPr>
          <w:lang w:val="pl-PL"/>
        </w:rPr>
        <w:tab/>
        <w:t>247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 xml:space="preserve">List otwarty Rady Dzieci i Młodzieży przy </w:t>
      </w:r>
      <w:bookmarkStart w:id="0" w:name="_GoBack"/>
      <w:r w:rsidRPr="007A05A7">
        <w:rPr>
          <w:lang w:val="pl-PL"/>
        </w:rPr>
        <w:t>Ministerstwie Edukacji Narodowej</w:t>
      </w:r>
      <w:bookmarkEnd w:id="0"/>
      <w:r w:rsidRPr="007A05A7">
        <w:rPr>
          <w:lang w:val="pl-PL"/>
        </w:rPr>
        <w:tab/>
        <w:t>251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Ekspertyza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podstaw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programowych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kształcenia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ogólnego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dokonana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przez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profesorów</w:t>
      </w:r>
      <w:r>
        <w:rPr>
          <w:lang w:val="pl-PL"/>
        </w:rPr>
        <w:t xml:space="preserve"> </w:t>
      </w:r>
      <w:r w:rsidRPr="007A05A7">
        <w:rPr>
          <w:lang w:val="pl-PL"/>
        </w:rPr>
        <w:t xml:space="preserve">Komitetu Nauk Pedagogicznych </w:t>
      </w:r>
      <w:r w:rsidRPr="007A05A7">
        <w:rPr>
          <w:lang w:val="pl-PL"/>
        </w:rPr>
        <w:t>PAN</w:t>
      </w:r>
      <w:r w:rsidRPr="007A05A7">
        <w:rPr>
          <w:lang w:val="pl-PL"/>
        </w:rPr>
        <w:tab/>
      </w:r>
      <w:r w:rsidRPr="007A05A7">
        <w:rPr>
          <w:lang w:val="pl-PL"/>
        </w:rPr>
        <w:t>253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Postulaty rodziców popierających akcję strajkową nauczycieli od marca 2017 r</w:t>
      </w:r>
      <w:r>
        <w:rPr>
          <w:lang w:val="pl-PL"/>
        </w:rPr>
        <w:t>.</w:t>
      </w:r>
      <w:r w:rsidRPr="007A05A7">
        <w:rPr>
          <w:lang w:val="pl-PL"/>
        </w:rPr>
        <w:tab/>
        <w:t>265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List 100. List otwarty – Poparcie dla dobrej zmiany w polskiej oświacie</w:t>
      </w:r>
      <w:r w:rsidRPr="007A05A7">
        <w:rPr>
          <w:lang w:val="pl-PL"/>
        </w:rPr>
        <w:tab/>
        <w:t>267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Petycja przeciwko reformie szkolnej!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 xml:space="preserve">Apel naukowców uczelni warszawskich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26 kwietnia</w:t>
      </w:r>
      <w:r>
        <w:rPr>
          <w:lang w:val="pl-PL"/>
        </w:rPr>
        <w:t xml:space="preserve"> </w:t>
      </w:r>
      <w:r w:rsidRPr="007A05A7">
        <w:rPr>
          <w:lang w:val="pl-PL"/>
        </w:rPr>
        <w:t>2017 r</w:t>
      </w:r>
      <w:r>
        <w:rPr>
          <w:lang w:val="pl-PL"/>
        </w:rPr>
        <w:t>.</w:t>
      </w:r>
      <w:r w:rsidRPr="007A05A7">
        <w:rPr>
          <w:lang w:val="pl-PL"/>
        </w:rPr>
        <w:tab/>
        <w:t>269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P</w:t>
      </w:r>
      <w:r w:rsidRPr="007A05A7">
        <w:rPr>
          <w:lang w:val="pl-PL"/>
        </w:rPr>
        <w:t>etycja ruchu Obywatele dla Edukacji z 30 stycznia 2018 r</w:t>
      </w:r>
      <w:r>
        <w:rPr>
          <w:lang w:val="pl-PL"/>
        </w:rPr>
        <w:t>.</w:t>
      </w:r>
      <w:r w:rsidRPr="007A05A7">
        <w:rPr>
          <w:lang w:val="pl-PL"/>
        </w:rPr>
        <w:tab/>
        <w:t>271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Apel nauczycieli Chełmna do klubów parlamentarnych</w:t>
      </w:r>
      <w:r w:rsidRPr="007A05A7">
        <w:rPr>
          <w:lang w:val="pl-PL"/>
        </w:rPr>
        <w:tab/>
        <w:t>273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Opinia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ks.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prof.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Mariana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Nowaka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temat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projektu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rozporządzenia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MEN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sprawie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warun</w:t>
      </w:r>
      <w:r w:rsidRPr="007A05A7">
        <w:rPr>
          <w:lang w:val="pl-PL"/>
        </w:rPr>
        <w:t>ków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sposobu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organizowania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nauki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religii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publicznych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przedszkolach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szkołach</w:t>
      </w:r>
      <w:r w:rsidRPr="007A05A7">
        <w:rPr>
          <w:lang w:val="pl-PL"/>
        </w:rPr>
        <w:tab/>
      </w:r>
      <w:r w:rsidRPr="007A05A7">
        <w:rPr>
          <w:lang w:val="pl-PL"/>
        </w:rPr>
        <w:t>277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Komunikat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Krajowej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Sekcji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Oświaty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Wychowania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NSZZ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„Solidarność”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stycznia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2019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</w:t>
      </w:r>
      <w:r>
        <w:rPr>
          <w:lang w:val="pl-PL"/>
        </w:rPr>
        <w:t>.</w:t>
      </w:r>
      <w:r w:rsidRPr="007A05A7">
        <w:rPr>
          <w:lang w:val="pl-PL"/>
        </w:rPr>
        <w:tab/>
        <w:t>281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Narada Obywatelska o Edukacji (</w:t>
      </w:r>
      <w:proofErr w:type="spellStart"/>
      <w:r w:rsidRPr="007A05A7">
        <w:rPr>
          <w:lang w:val="pl-PL"/>
        </w:rPr>
        <w:t>NOoE</w:t>
      </w:r>
      <w:proofErr w:type="spellEnd"/>
      <w:r w:rsidRPr="007A05A7">
        <w:rPr>
          <w:lang w:val="pl-PL"/>
        </w:rPr>
        <w:t>)</w:t>
      </w:r>
      <w:r w:rsidRPr="007A05A7">
        <w:rPr>
          <w:lang w:val="pl-PL"/>
        </w:rPr>
        <w:tab/>
        <w:t>283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Apel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członków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oraz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przewodniczących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komitetów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naukowych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Wydziału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Nauk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Humani</w:t>
      </w:r>
      <w:r w:rsidRPr="007A05A7">
        <w:rPr>
          <w:lang w:val="pl-PL"/>
        </w:rPr>
        <w:t xml:space="preserve">stycznych i Społecznych </w:t>
      </w:r>
      <w:r w:rsidRPr="007A05A7">
        <w:rPr>
          <w:lang w:val="pl-PL"/>
        </w:rPr>
        <w:t>PAN</w:t>
      </w:r>
      <w:r w:rsidRPr="007A05A7">
        <w:rPr>
          <w:lang w:val="pl-PL"/>
        </w:rPr>
        <w:t xml:space="preserve"> z kwietnia 2019 r</w:t>
      </w:r>
      <w:r>
        <w:rPr>
          <w:lang w:val="pl-PL"/>
        </w:rPr>
        <w:t>.</w:t>
      </w:r>
      <w:r w:rsidRPr="007A05A7">
        <w:rPr>
          <w:lang w:val="pl-PL"/>
        </w:rPr>
        <w:tab/>
        <w:t>285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List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otwarty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nauczycieli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oddolnego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ruchu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„Protest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Wykrzyknikiem!”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z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23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kwietnia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2019</w:t>
      </w:r>
      <w:r w:rsidRPr="007A05A7">
        <w:rPr>
          <w:lang w:val="pl-PL"/>
        </w:rPr>
        <w:t xml:space="preserve"> </w:t>
      </w:r>
      <w:r w:rsidRPr="007A05A7">
        <w:rPr>
          <w:lang w:val="pl-PL"/>
        </w:rPr>
        <w:t>r</w:t>
      </w:r>
      <w:r>
        <w:rPr>
          <w:lang w:val="pl-PL"/>
        </w:rPr>
        <w:t>.</w:t>
      </w:r>
      <w:r w:rsidRPr="007A05A7">
        <w:rPr>
          <w:lang w:val="pl-PL"/>
        </w:rPr>
        <w:tab/>
        <w:t>287</w:t>
      </w:r>
    </w:p>
    <w:p w:rsidR="007A05A7" w:rsidRDefault="007A05A7" w:rsidP="007A05A7">
      <w:pPr>
        <w:ind w:left="851" w:hanging="720"/>
        <w:rPr>
          <w:lang w:val="pl-PL"/>
        </w:rPr>
      </w:pP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Bibliografia</w:t>
      </w:r>
      <w:r w:rsidRPr="007A05A7">
        <w:rPr>
          <w:lang w:val="pl-PL"/>
        </w:rPr>
        <w:tab/>
        <w:t>289</w:t>
      </w:r>
    </w:p>
    <w:p w:rsidR="00D55711" w:rsidRPr="007A05A7" w:rsidRDefault="007A05A7" w:rsidP="007A05A7">
      <w:pPr>
        <w:ind w:left="851" w:hanging="720"/>
        <w:rPr>
          <w:lang w:val="pl-PL"/>
        </w:rPr>
      </w:pPr>
      <w:r w:rsidRPr="007A05A7">
        <w:rPr>
          <w:lang w:val="pl-PL"/>
        </w:rPr>
        <w:t>Spis ilustracji, schematów i tabel</w:t>
      </w:r>
      <w:r w:rsidRPr="007A05A7">
        <w:rPr>
          <w:lang w:val="pl-PL"/>
        </w:rPr>
        <w:tab/>
        <w:t>303</w:t>
      </w:r>
    </w:p>
    <w:sectPr w:rsidR="00D55711" w:rsidRPr="007A05A7">
      <w:pgSz w:w="9530" w:h="13610"/>
      <w:pgMar w:top="800" w:right="11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B12"/>
    <w:multiLevelType w:val="hybridMultilevel"/>
    <w:tmpl w:val="D0DAC960"/>
    <w:lvl w:ilvl="0" w:tplc="0862E864">
      <w:start w:val="3"/>
      <w:numFmt w:val="decimal"/>
      <w:lvlText w:val="%1."/>
      <w:lvlJc w:val="left"/>
      <w:pPr>
        <w:ind w:left="641" w:hanging="178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1" w:tplc="F3BADA08">
      <w:start w:val="1"/>
      <w:numFmt w:val="bullet"/>
      <w:lvlText w:val="•"/>
      <w:lvlJc w:val="left"/>
      <w:pPr>
        <w:ind w:left="1294" w:hanging="178"/>
      </w:pPr>
      <w:rPr>
        <w:rFonts w:hint="default"/>
      </w:rPr>
    </w:lvl>
    <w:lvl w:ilvl="2" w:tplc="03B0CE98">
      <w:start w:val="1"/>
      <w:numFmt w:val="bullet"/>
      <w:lvlText w:val="•"/>
      <w:lvlJc w:val="left"/>
      <w:pPr>
        <w:ind w:left="1946" w:hanging="178"/>
      </w:pPr>
      <w:rPr>
        <w:rFonts w:hint="default"/>
      </w:rPr>
    </w:lvl>
    <w:lvl w:ilvl="3" w:tplc="32FC61DC">
      <w:start w:val="1"/>
      <w:numFmt w:val="bullet"/>
      <w:lvlText w:val="•"/>
      <w:lvlJc w:val="left"/>
      <w:pPr>
        <w:ind w:left="2598" w:hanging="178"/>
      </w:pPr>
      <w:rPr>
        <w:rFonts w:hint="default"/>
      </w:rPr>
    </w:lvl>
    <w:lvl w:ilvl="4" w:tplc="9A3ED842">
      <w:start w:val="1"/>
      <w:numFmt w:val="bullet"/>
      <w:lvlText w:val="•"/>
      <w:lvlJc w:val="left"/>
      <w:pPr>
        <w:ind w:left="3250" w:hanging="178"/>
      </w:pPr>
      <w:rPr>
        <w:rFonts w:hint="default"/>
      </w:rPr>
    </w:lvl>
    <w:lvl w:ilvl="5" w:tplc="FE4E927A">
      <w:start w:val="1"/>
      <w:numFmt w:val="bullet"/>
      <w:lvlText w:val="•"/>
      <w:lvlJc w:val="left"/>
      <w:pPr>
        <w:ind w:left="3903" w:hanging="178"/>
      </w:pPr>
      <w:rPr>
        <w:rFonts w:hint="default"/>
      </w:rPr>
    </w:lvl>
    <w:lvl w:ilvl="6" w:tplc="C9FA0B30">
      <w:start w:val="1"/>
      <w:numFmt w:val="bullet"/>
      <w:lvlText w:val="•"/>
      <w:lvlJc w:val="left"/>
      <w:pPr>
        <w:ind w:left="4555" w:hanging="178"/>
      </w:pPr>
      <w:rPr>
        <w:rFonts w:hint="default"/>
      </w:rPr>
    </w:lvl>
    <w:lvl w:ilvl="7" w:tplc="8F0C36FC">
      <w:start w:val="1"/>
      <w:numFmt w:val="bullet"/>
      <w:lvlText w:val="•"/>
      <w:lvlJc w:val="left"/>
      <w:pPr>
        <w:ind w:left="5207" w:hanging="178"/>
      </w:pPr>
      <w:rPr>
        <w:rFonts w:hint="default"/>
      </w:rPr>
    </w:lvl>
    <w:lvl w:ilvl="8" w:tplc="B2BC68E6">
      <w:start w:val="1"/>
      <w:numFmt w:val="bullet"/>
      <w:lvlText w:val="•"/>
      <w:lvlJc w:val="left"/>
      <w:pPr>
        <w:ind w:left="5859" w:hanging="178"/>
      </w:pPr>
      <w:rPr>
        <w:rFonts w:hint="default"/>
      </w:rPr>
    </w:lvl>
  </w:abstractNum>
  <w:abstractNum w:abstractNumId="1">
    <w:nsid w:val="7EEF6745"/>
    <w:multiLevelType w:val="hybridMultilevel"/>
    <w:tmpl w:val="16D447CA"/>
    <w:lvl w:ilvl="0" w:tplc="61126824">
      <w:start w:val="10"/>
      <w:numFmt w:val="decimal"/>
      <w:lvlText w:val="%1."/>
      <w:lvlJc w:val="left"/>
      <w:pPr>
        <w:ind w:left="650" w:hanging="267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1" w:tplc="C7465028">
      <w:start w:val="1"/>
      <w:numFmt w:val="bullet"/>
      <w:lvlText w:val="•"/>
      <w:lvlJc w:val="left"/>
      <w:pPr>
        <w:ind w:left="1302" w:hanging="267"/>
      </w:pPr>
      <w:rPr>
        <w:rFonts w:hint="default"/>
      </w:rPr>
    </w:lvl>
    <w:lvl w:ilvl="2" w:tplc="83E44D86">
      <w:start w:val="1"/>
      <w:numFmt w:val="bullet"/>
      <w:lvlText w:val="•"/>
      <w:lvlJc w:val="left"/>
      <w:pPr>
        <w:ind w:left="1953" w:hanging="267"/>
      </w:pPr>
      <w:rPr>
        <w:rFonts w:hint="default"/>
      </w:rPr>
    </w:lvl>
    <w:lvl w:ilvl="3" w:tplc="6E3A05B4">
      <w:start w:val="1"/>
      <w:numFmt w:val="bullet"/>
      <w:lvlText w:val="•"/>
      <w:lvlJc w:val="left"/>
      <w:pPr>
        <w:ind w:left="2604" w:hanging="267"/>
      </w:pPr>
      <w:rPr>
        <w:rFonts w:hint="default"/>
      </w:rPr>
    </w:lvl>
    <w:lvl w:ilvl="4" w:tplc="1CC4CBE4">
      <w:start w:val="1"/>
      <w:numFmt w:val="bullet"/>
      <w:lvlText w:val="•"/>
      <w:lvlJc w:val="left"/>
      <w:pPr>
        <w:ind w:left="3256" w:hanging="267"/>
      </w:pPr>
      <w:rPr>
        <w:rFonts w:hint="default"/>
      </w:rPr>
    </w:lvl>
    <w:lvl w:ilvl="5" w:tplc="A5FE9E08">
      <w:start w:val="1"/>
      <w:numFmt w:val="bullet"/>
      <w:lvlText w:val="•"/>
      <w:lvlJc w:val="left"/>
      <w:pPr>
        <w:ind w:left="3907" w:hanging="267"/>
      </w:pPr>
      <w:rPr>
        <w:rFonts w:hint="default"/>
      </w:rPr>
    </w:lvl>
    <w:lvl w:ilvl="6" w:tplc="367CB288">
      <w:start w:val="1"/>
      <w:numFmt w:val="bullet"/>
      <w:lvlText w:val="•"/>
      <w:lvlJc w:val="left"/>
      <w:pPr>
        <w:ind w:left="4558" w:hanging="267"/>
      </w:pPr>
      <w:rPr>
        <w:rFonts w:hint="default"/>
      </w:rPr>
    </w:lvl>
    <w:lvl w:ilvl="7" w:tplc="9072136E">
      <w:start w:val="1"/>
      <w:numFmt w:val="bullet"/>
      <w:lvlText w:val="•"/>
      <w:lvlJc w:val="left"/>
      <w:pPr>
        <w:ind w:left="5210" w:hanging="267"/>
      </w:pPr>
      <w:rPr>
        <w:rFonts w:hint="default"/>
      </w:rPr>
    </w:lvl>
    <w:lvl w:ilvl="8" w:tplc="9F7A87B8">
      <w:start w:val="1"/>
      <w:numFmt w:val="bullet"/>
      <w:lvlText w:val="•"/>
      <w:lvlJc w:val="left"/>
      <w:pPr>
        <w:ind w:left="5861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711"/>
    <w:rsid w:val="007A05A7"/>
    <w:rsid w:val="00D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0"/>
      <w:ind w:left="16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2020-09-08T11:21:00Z</dcterms:created>
  <dcterms:modified xsi:type="dcterms:W3CDTF">2020-09-08T09:31:00Z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2020-09-08T00:00:00Z</vt:filetime>
  </property>
</Properties>
</file>