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6DE0" w14:textId="57BEE3A6" w:rsidR="003C4575" w:rsidRPr="00DF5339" w:rsidRDefault="00000000" w:rsidP="00DF5339">
      <w:pPr>
        <w:ind w:left="110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Wprowadzenie</w:t>
      </w:r>
      <w:r w:rsidR="00DF5339" w:rsidRPr="00DF5339">
        <w:rPr>
          <w:rFonts w:ascii="Calibri" w:hAnsi="Calibri" w:cs="Calibri"/>
          <w:color w:val="231F20"/>
          <w:sz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  <w:t>7</w:t>
      </w:r>
    </w:p>
    <w:p w14:paraId="446C40FD" w14:textId="77777777" w:rsidR="00DF5339" w:rsidRPr="00DF5339" w:rsidRDefault="00DF5339" w:rsidP="00DF5339">
      <w:pPr>
        <w:ind w:left="110"/>
        <w:rPr>
          <w:rFonts w:ascii="Calibri" w:hAnsi="Calibri" w:cs="Calibri"/>
          <w:color w:val="231F20"/>
          <w:sz w:val="20"/>
          <w:lang w:val="pl-PL"/>
        </w:rPr>
      </w:pPr>
    </w:p>
    <w:p w14:paraId="08932DBA" w14:textId="375DD83F" w:rsidR="003C4575" w:rsidRPr="00DF5339" w:rsidRDefault="00000000" w:rsidP="00DF5339">
      <w:pPr>
        <w:ind w:left="110"/>
        <w:rPr>
          <w:rFonts w:ascii="Calibri" w:eastAsia="Arial Narrow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Rozdział 1</w:t>
      </w:r>
      <w:r w:rsidR="00DF5339" w:rsidRPr="00DF5339">
        <w:rPr>
          <w:rFonts w:ascii="Calibri" w:hAnsi="Calibri" w:cs="Calibri"/>
          <w:color w:val="231F20"/>
          <w:sz w:val="20"/>
          <w:lang w:val="pl-PL"/>
        </w:rPr>
        <w:t xml:space="preserve">. </w:t>
      </w:r>
      <w:r w:rsidRPr="00DF5339">
        <w:rPr>
          <w:rFonts w:ascii="Calibri" w:hAnsi="Calibri" w:cs="Calibri"/>
          <w:b/>
          <w:color w:val="231F20"/>
          <w:sz w:val="20"/>
          <w:lang w:val="pl-PL"/>
        </w:rPr>
        <w:t>Perspektywa krytyczna w rekonstrukcji warunków tworzenia wiedzy</w:t>
      </w:r>
      <w:r w:rsidRPr="00DF5339">
        <w:rPr>
          <w:rFonts w:ascii="Calibri" w:hAnsi="Calibri" w:cs="Calibri"/>
          <w:b/>
          <w:color w:val="231F20"/>
          <w:sz w:val="20"/>
          <w:lang w:val="pl-PL"/>
        </w:rPr>
        <w:tab/>
      </w:r>
      <w:r w:rsidRPr="00DF5339">
        <w:rPr>
          <w:rFonts w:ascii="Calibri" w:hAnsi="Calibri" w:cs="Calibri"/>
          <w:b/>
          <w:color w:val="231F20"/>
          <w:spacing w:val="-9"/>
          <w:sz w:val="20"/>
          <w:lang w:val="pl-PL"/>
        </w:rPr>
        <w:t>11</w:t>
      </w:r>
    </w:p>
    <w:p w14:paraId="7681ED3A" w14:textId="35E99690" w:rsidR="003C4575" w:rsidRPr="00DF5339" w:rsidRDefault="00000000" w:rsidP="00DF5339">
      <w:pPr>
        <w:numPr>
          <w:ilvl w:val="1"/>
          <w:numId w:val="3"/>
        </w:numPr>
        <w:ind w:hanging="397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Metodologia w naukach o wychowaniu – status dyscyplinarny i spo</w:t>
      </w:r>
      <w:r w:rsidRPr="00DF5339">
        <w:rPr>
          <w:rFonts w:ascii="Calibri" w:hAnsi="Calibri" w:cs="Calibri"/>
          <w:color w:val="231F20"/>
          <w:sz w:val="20"/>
          <w:lang w:val="pl-PL"/>
        </w:rPr>
        <w:t>łeczne warunki dyskusji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</w:r>
      <w:r w:rsidRPr="00DF5339">
        <w:rPr>
          <w:rFonts w:ascii="Calibri" w:hAnsi="Calibri" w:cs="Calibri"/>
          <w:color w:val="231F20"/>
          <w:spacing w:val="-15"/>
          <w:sz w:val="20"/>
          <w:lang w:val="pl-PL"/>
        </w:rPr>
        <w:t>11</w:t>
      </w:r>
    </w:p>
    <w:p w14:paraId="71833BE8" w14:textId="721D49E5" w:rsidR="003C4575" w:rsidRPr="00DF5339" w:rsidRDefault="00000000" w:rsidP="00DF5339">
      <w:pPr>
        <w:numPr>
          <w:ilvl w:val="1"/>
          <w:numId w:val="3"/>
        </w:numPr>
        <w:ind w:hanging="389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Od powszechności do partykularności metody w badaniach naukowych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  <w:t>32</w:t>
      </w:r>
    </w:p>
    <w:p w14:paraId="529E2219" w14:textId="68A8DB69" w:rsidR="003C4575" w:rsidRPr="00DF5339" w:rsidRDefault="00000000" w:rsidP="00DF5339">
      <w:pPr>
        <w:numPr>
          <w:ilvl w:val="1"/>
          <w:numId w:val="3"/>
        </w:numPr>
        <w:ind w:right="111" w:hanging="397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Krytyka metodologiczna jako praktyka tworzenia wiedzy (dziedziny problemowe – próba rekonstrukcji)</w:t>
      </w:r>
      <w:r w:rsid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 xml:space="preserve"> </w:t>
      </w: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ab/>
        <w:t>42</w:t>
      </w:r>
    </w:p>
    <w:p w14:paraId="737BE996" w14:textId="77777777" w:rsidR="00DF5339" w:rsidRDefault="00DF5339" w:rsidP="00DF5339">
      <w:pPr>
        <w:ind w:left="110"/>
        <w:rPr>
          <w:rFonts w:ascii="Calibri" w:hAnsi="Calibri" w:cs="Calibri"/>
          <w:color w:val="231F20"/>
          <w:sz w:val="20"/>
          <w:lang w:val="pl-PL"/>
        </w:rPr>
      </w:pPr>
    </w:p>
    <w:p w14:paraId="65C46E78" w14:textId="1CCAADED" w:rsidR="003C4575" w:rsidRPr="00DF5339" w:rsidRDefault="00000000" w:rsidP="00DF5339">
      <w:pPr>
        <w:ind w:left="110"/>
        <w:rPr>
          <w:rFonts w:ascii="Calibri" w:eastAsia="Arial Narrow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Rozdział 2</w:t>
      </w:r>
      <w:r w:rsidR="00DF5339">
        <w:rPr>
          <w:rFonts w:ascii="Calibri" w:hAnsi="Calibri" w:cs="Calibri"/>
          <w:color w:val="231F20"/>
          <w:sz w:val="20"/>
          <w:lang w:val="pl-PL"/>
        </w:rPr>
        <w:t xml:space="preserve">. </w:t>
      </w:r>
      <w:r w:rsidRPr="00DF5339">
        <w:rPr>
          <w:rFonts w:ascii="Calibri" w:eastAsia="Arial Narrow" w:hAnsi="Calibri" w:cs="Calibri"/>
          <w:b/>
          <w:bCs/>
          <w:color w:val="231F20"/>
          <w:sz w:val="20"/>
          <w:szCs w:val="20"/>
          <w:lang w:val="pl-PL"/>
        </w:rPr>
        <w:t>Perspektywa uczestnicząca – próba rekonstrukcji</w:t>
      </w:r>
      <w:r w:rsidRPr="00DF5339">
        <w:rPr>
          <w:rFonts w:ascii="Calibri" w:eastAsia="Arial Narrow" w:hAnsi="Calibri" w:cs="Calibri"/>
          <w:b/>
          <w:bCs/>
          <w:color w:val="231F20"/>
          <w:sz w:val="20"/>
          <w:szCs w:val="20"/>
          <w:lang w:val="pl-PL"/>
        </w:rPr>
        <w:tab/>
        <w:t>87</w:t>
      </w:r>
    </w:p>
    <w:p w14:paraId="3BCED7DF" w14:textId="76496AF0" w:rsidR="003C4575" w:rsidRPr="00DF5339" w:rsidRDefault="00000000" w:rsidP="00DF5339">
      <w:pPr>
        <w:numPr>
          <w:ilvl w:val="1"/>
          <w:numId w:val="2"/>
        </w:numPr>
        <w:ind w:right="111" w:hanging="397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Perspektywa uczestnicząca w badaniach empirycznych – zarys tematyczny</w:t>
      </w: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ab/>
      </w:r>
      <w:r w:rsidRPr="00DF5339">
        <w:rPr>
          <w:rFonts w:ascii="Calibri" w:eastAsia="Arial" w:hAnsi="Calibri" w:cs="Calibri"/>
          <w:color w:val="231F20"/>
          <w:spacing w:val="-1"/>
          <w:sz w:val="20"/>
          <w:szCs w:val="20"/>
          <w:lang w:val="pl-PL"/>
        </w:rPr>
        <w:t>87</w:t>
      </w:r>
    </w:p>
    <w:p w14:paraId="6BDCE3E0" w14:textId="14F916EF" w:rsidR="003C4575" w:rsidRPr="00DF5339" w:rsidRDefault="00000000" w:rsidP="00DF5339">
      <w:pPr>
        <w:numPr>
          <w:ilvl w:val="1"/>
          <w:numId w:val="2"/>
        </w:numPr>
        <w:ind w:hanging="389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>Wrażliwość</w:t>
      </w:r>
      <w:r w:rsidRPr="00DF5339">
        <w:rPr>
          <w:rFonts w:ascii="Calibri" w:hAnsi="Calibri" w:cs="Calibri"/>
          <w:color w:val="231F20"/>
          <w:sz w:val="20"/>
          <w:lang w:val="pl-PL"/>
        </w:rPr>
        <w:t xml:space="preserve"> badawcza i etyczna w perspektywie uczestniczącej (uwagi o statusie obserwatora, świadka i sprawcy)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</w:r>
      <w:r w:rsidRPr="00DF5339">
        <w:rPr>
          <w:rFonts w:ascii="Calibri" w:hAnsi="Calibri" w:cs="Calibri"/>
          <w:color w:val="231F20"/>
          <w:spacing w:val="-15"/>
          <w:sz w:val="20"/>
          <w:lang w:val="pl-PL"/>
        </w:rPr>
        <w:t>111</w:t>
      </w:r>
    </w:p>
    <w:p w14:paraId="141EEE6E" w14:textId="41578CC9" w:rsidR="003C4575" w:rsidRPr="00DF5339" w:rsidRDefault="00000000" w:rsidP="00DF5339">
      <w:pPr>
        <w:numPr>
          <w:ilvl w:val="1"/>
          <w:numId w:val="2"/>
        </w:numPr>
        <w:ind w:right="111" w:hanging="397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Rekonstrukcja drogi zawodowej – (auto)opis w specyficznym kontekście</w:t>
      </w: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ab/>
      </w:r>
      <w:r w:rsidRPr="00DF5339">
        <w:rPr>
          <w:rFonts w:ascii="Calibri" w:eastAsia="Arial" w:hAnsi="Calibri" w:cs="Calibri"/>
          <w:color w:val="231F20"/>
          <w:spacing w:val="-1"/>
          <w:sz w:val="20"/>
          <w:szCs w:val="20"/>
          <w:lang w:val="pl-PL"/>
        </w:rPr>
        <w:t>144</w:t>
      </w:r>
    </w:p>
    <w:p w14:paraId="3ED82BEA" w14:textId="77777777" w:rsidR="00DF5339" w:rsidRDefault="00DF5339" w:rsidP="00DF5339">
      <w:pPr>
        <w:ind w:left="110"/>
        <w:rPr>
          <w:rFonts w:ascii="Calibri" w:hAnsi="Calibri" w:cs="Calibri"/>
          <w:color w:val="231F20"/>
          <w:sz w:val="20"/>
          <w:lang w:val="pl-PL"/>
        </w:rPr>
      </w:pPr>
    </w:p>
    <w:p w14:paraId="7FFAF0F9" w14:textId="09118A1C" w:rsidR="003C4575" w:rsidRPr="00DF5339" w:rsidRDefault="00000000" w:rsidP="00DF5339">
      <w:pPr>
        <w:ind w:left="110"/>
        <w:rPr>
          <w:rFonts w:ascii="Calibri" w:eastAsia="Arial Narrow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Rozdział 3</w:t>
      </w:r>
      <w:r w:rsidR="00DF5339">
        <w:rPr>
          <w:rFonts w:ascii="Calibri" w:hAnsi="Calibri" w:cs="Calibri"/>
          <w:color w:val="231F20"/>
          <w:sz w:val="20"/>
          <w:lang w:val="pl-PL"/>
        </w:rPr>
        <w:t xml:space="preserve">. </w:t>
      </w:r>
      <w:r w:rsidRPr="00DF5339">
        <w:rPr>
          <w:rFonts w:ascii="Calibri" w:eastAsia="Arial Narrow" w:hAnsi="Calibri" w:cs="Calibri"/>
          <w:b/>
          <w:bCs/>
          <w:color w:val="231F20"/>
          <w:sz w:val="20"/>
          <w:szCs w:val="20"/>
          <w:lang w:val="pl-PL"/>
        </w:rPr>
        <w:t>Praktyki badawcze – próby rekonstrukcji</w:t>
      </w:r>
      <w:r w:rsidRPr="00DF5339">
        <w:rPr>
          <w:rFonts w:ascii="Calibri" w:eastAsia="Arial Narrow" w:hAnsi="Calibri" w:cs="Calibri"/>
          <w:b/>
          <w:bCs/>
          <w:color w:val="231F20"/>
          <w:sz w:val="20"/>
          <w:szCs w:val="20"/>
          <w:lang w:val="pl-PL"/>
        </w:rPr>
        <w:tab/>
        <w:t>163</w:t>
      </w:r>
    </w:p>
    <w:p w14:paraId="43F0F728" w14:textId="0E15C82B" w:rsidR="003C4575" w:rsidRPr="00DF5339" w:rsidRDefault="00000000" w:rsidP="00DF5339">
      <w:pPr>
        <w:numPr>
          <w:ilvl w:val="1"/>
          <w:numId w:val="1"/>
        </w:numPr>
        <w:ind w:right="655" w:hanging="397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Empiryczna</w:t>
      </w: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>rekonstrukcja</w:t>
      </w: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>uwarunkowań</w:t>
      </w: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>satysfakcji</w:t>
      </w: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>zawodowej</w:t>
      </w: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>i</w:t>
      </w: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>sytuacji trudnych w wypowiedziach absolwentów pedagogiki (z wykorzystaniem obiektywnej hermeneutyki)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  <w:t>163</w:t>
      </w:r>
    </w:p>
    <w:p w14:paraId="42AAAB0A" w14:textId="17D20DBD" w:rsidR="003C4575" w:rsidRPr="00DF5339" w:rsidRDefault="00000000" w:rsidP="00DF5339">
      <w:pPr>
        <w:numPr>
          <w:ilvl w:val="1"/>
          <w:numId w:val="1"/>
        </w:numPr>
        <w:rPr>
          <w:rFonts w:ascii="Calibri" w:hAnsi="Calibri" w:cs="Calibri"/>
          <w:color w:val="231F20"/>
          <w:spacing w:val="-1"/>
          <w:sz w:val="20"/>
          <w:lang w:val="pl-PL"/>
        </w:rPr>
      </w:pP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Ilość – jakość: konsekwencje kłopotliwego kryterium rozróżniania</w:t>
      </w:r>
      <w:r w:rsidR="00DF5339"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 xml:space="preserve"> </w:t>
      </w:r>
      <w:r w:rsidRPr="00DF5339">
        <w:rPr>
          <w:rFonts w:ascii="Calibri" w:hAnsi="Calibri" w:cs="Calibri"/>
          <w:color w:val="231F20"/>
          <w:sz w:val="20"/>
          <w:lang w:val="pl-PL"/>
        </w:rPr>
        <w:t>badań empirycznych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</w: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>184</w:t>
      </w:r>
    </w:p>
    <w:p w14:paraId="66FBFCEA" w14:textId="4563450A" w:rsidR="003C4575" w:rsidRPr="00DF5339" w:rsidRDefault="00000000" w:rsidP="00DF5339">
      <w:pPr>
        <w:numPr>
          <w:ilvl w:val="1"/>
          <w:numId w:val="1"/>
        </w:numPr>
        <w:ind w:hanging="386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pacing w:val="-1"/>
          <w:sz w:val="20"/>
          <w:lang w:val="pl-PL"/>
        </w:rPr>
        <w:t>Triangulacja</w:t>
      </w:r>
      <w:r w:rsidRPr="00DF5339">
        <w:rPr>
          <w:rFonts w:ascii="Calibri" w:hAnsi="Calibri" w:cs="Calibri"/>
          <w:color w:val="231F20"/>
          <w:sz w:val="20"/>
          <w:lang w:val="pl-PL"/>
        </w:rPr>
        <w:t xml:space="preserve"> i mieszanie metod ilościowych oraz jakościowych</w:t>
      </w:r>
      <w:r w:rsidR="00DF5339" w:rsidRPr="00DF5339">
        <w:rPr>
          <w:rFonts w:ascii="Calibri" w:hAnsi="Calibri" w:cs="Calibri"/>
          <w:color w:val="231F20"/>
          <w:sz w:val="20"/>
          <w:lang w:val="pl-PL"/>
        </w:rPr>
        <w:t xml:space="preserve"> </w:t>
      </w: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– oczekiwania i wątpliwości</w:t>
      </w: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ab/>
      </w:r>
      <w:r w:rsidRPr="00DF5339">
        <w:rPr>
          <w:rFonts w:ascii="Calibri" w:eastAsia="Arial" w:hAnsi="Calibri" w:cs="Calibri"/>
          <w:color w:val="231F20"/>
          <w:spacing w:val="-1"/>
          <w:sz w:val="20"/>
          <w:szCs w:val="20"/>
          <w:lang w:val="pl-PL"/>
        </w:rPr>
        <w:t>193</w:t>
      </w:r>
    </w:p>
    <w:p w14:paraId="6C228229" w14:textId="77777777" w:rsidR="003C4575" w:rsidRPr="00DF5339" w:rsidRDefault="00000000" w:rsidP="00DF5339">
      <w:pPr>
        <w:numPr>
          <w:ilvl w:val="1"/>
          <w:numId w:val="1"/>
        </w:numPr>
        <w:ind w:right="171" w:hanging="397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Rekonstrukcja własnego projektu badawczego jako sposób na wzrost świadomości metodologicznej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  <w:t>205</w:t>
      </w:r>
    </w:p>
    <w:p w14:paraId="02E840FB" w14:textId="7DCA73B6" w:rsidR="003C4575" w:rsidRPr="00DF5339" w:rsidRDefault="00000000" w:rsidP="00DF5339">
      <w:pPr>
        <w:numPr>
          <w:ilvl w:val="1"/>
          <w:numId w:val="1"/>
        </w:numPr>
        <w:ind w:right="171" w:hanging="397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Budowanie typów jako droga generowania teorii – wybrane rozwiąza</w:t>
      </w:r>
      <w:r w:rsidRPr="00DF5339">
        <w:rPr>
          <w:rFonts w:ascii="Calibri" w:eastAsia="Arial" w:hAnsi="Calibri" w:cs="Calibri"/>
          <w:color w:val="231F20"/>
          <w:spacing w:val="-1"/>
          <w:w w:val="95"/>
          <w:sz w:val="20"/>
          <w:szCs w:val="20"/>
          <w:lang w:val="pl-PL"/>
        </w:rPr>
        <w:t>nia</w:t>
      </w:r>
      <w:r w:rsidRPr="00DF5339">
        <w:rPr>
          <w:rFonts w:ascii="Calibri" w:eastAsia="Arial" w:hAnsi="Calibri" w:cs="Calibri"/>
          <w:color w:val="231F20"/>
          <w:spacing w:val="-1"/>
          <w:w w:val="95"/>
          <w:sz w:val="20"/>
          <w:szCs w:val="20"/>
          <w:lang w:val="pl-PL"/>
        </w:rPr>
        <w:tab/>
      </w:r>
      <w:r w:rsidRPr="00DF5339">
        <w:rPr>
          <w:rFonts w:ascii="Calibri" w:eastAsia="Arial" w:hAnsi="Calibri" w:cs="Calibri"/>
          <w:color w:val="231F20"/>
          <w:sz w:val="20"/>
          <w:szCs w:val="20"/>
          <w:lang w:val="pl-PL"/>
        </w:rPr>
        <w:t>215</w:t>
      </w:r>
    </w:p>
    <w:p w14:paraId="231187D2" w14:textId="77777777" w:rsidR="003C4575" w:rsidRPr="00DF5339" w:rsidRDefault="00000000" w:rsidP="00DF5339">
      <w:pPr>
        <w:numPr>
          <w:ilvl w:val="1"/>
          <w:numId w:val="1"/>
        </w:numPr>
        <w:ind w:left="499"/>
        <w:rPr>
          <w:rFonts w:ascii="Calibri" w:eastAsia="Arial" w:hAnsi="Calibri" w:cs="Calibri"/>
          <w:sz w:val="20"/>
          <w:szCs w:val="20"/>
          <w:lang w:val="pl-PL"/>
        </w:rPr>
      </w:pPr>
      <w:r w:rsidRPr="00DF5339">
        <w:rPr>
          <w:rFonts w:ascii="Calibri" w:hAnsi="Calibri" w:cs="Calibri"/>
          <w:color w:val="231F20"/>
          <w:sz w:val="20"/>
          <w:lang w:val="pl-PL"/>
        </w:rPr>
        <w:t>O stosowaniu hipotez w badaniach pedagogicznych</w:t>
      </w:r>
      <w:r w:rsidRPr="00DF5339">
        <w:rPr>
          <w:rFonts w:ascii="Calibri" w:hAnsi="Calibri" w:cs="Calibri"/>
          <w:color w:val="231F20"/>
          <w:sz w:val="20"/>
          <w:lang w:val="pl-PL"/>
        </w:rPr>
        <w:tab/>
        <w:t>224</w:t>
      </w:r>
    </w:p>
    <w:p w14:paraId="78C0AE24" w14:textId="77777777" w:rsidR="00DF5339" w:rsidRDefault="00DF5339" w:rsidP="00DF5339">
      <w:pPr>
        <w:ind w:left="110"/>
        <w:rPr>
          <w:rFonts w:ascii="Calibri" w:hAnsi="Calibri" w:cs="Calibri"/>
          <w:b/>
          <w:color w:val="231F20"/>
          <w:w w:val="95"/>
          <w:sz w:val="20"/>
        </w:rPr>
      </w:pPr>
    </w:p>
    <w:p w14:paraId="72944454" w14:textId="5AC5FE7B" w:rsidR="003C4575" w:rsidRPr="00DF5339" w:rsidRDefault="00000000" w:rsidP="00DF5339">
      <w:pPr>
        <w:ind w:left="110"/>
        <w:rPr>
          <w:rFonts w:ascii="Calibri" w:eastAsia="Arial Narrow" w:hAnsi="Calibri" w:cs="Calibri"/>
          <w:sz w:val="20"/>
          <w:szCs w:val="20"/>
        </w:rPr>
      </w:pPr>
      <w:proofErr w:type="spellStart"/>
      <w:r w:rsidRPr="00DF5339">
        <w:rPr>
          <w:rFonts w:ascii="Calibri" w:hAnsi="Calibri" w:cs="Calibri"/>
          <w:b/>
          <w:color w:val="231F20"/>
          <w:w w:val="95"/>
          <w:sz w:val="20"/>
        </w:rPr>
        <w:t>Zakończenie</w:t>
      </w:r>
      <w:proofErr w:type="spellEnd"/>
      <w:r w:rsidRPr="00DF5339">
        <w:rPr>
          <w:rFonts w:ascii="Calibri" w:hAnsi="Calibri" w:cs="Calibri"/>
          <w:b/>
          <w:color w:val="231F20"/>
          <w:w w:val="95"/>
          <w:sz w:val="20"/>
        </w:rPr>
        <w:tab/>
      </w:r>
      <w:r w:rsidRPr="00DF5339">
        <w:rPr>
          <w:rFonts w:ascii="Calibri" w:hAnsi="Calibri" w:cs="Calibri"/>
          <w:b/>
          <w:color w:val="231F20"/>
          <w:sz w:val="20"/>
        </w:rPr>
        <w:t>243</w:t>
      </w:r>
    </w:p>
    <w:p w14:paraId="0A49EFF3" w14:textId="77777777" w:rsidR="00DF5339" w:rsidRDefault="00DF5339" w:rsidP="00DF5339">
      <w:pPr>
        <w:ind w:left="110"/>
        <w:rPr>
          <w:rFonts w:ascii="Calibri" w:hAnsi="Calibri" w:cs="Calibri"/>
          <w:b/>
          <w:color w:val="231F20"/>
          <w:sz w:val="20"/>
        </w:rPr>
      </w:pPr>
    </w:p>
    <w:p w14:paraId="3D0E2E78" w14:textId="12E585C7" w:rsidR="003C4575" w:rsidRPr="00DF5339" w:rsidRDefault="00000000" w:rsidP="00DF5339">
      <w:pPr>
        <w:ind w:left="110"/>
        <w:rPr>
          <w:rFonts w:ascii="Calibri" w:eastAsia="Arial Narrow" w:hAnsi="Calibri" w:cs="Calibri"/>
          <w:sz w:val="20"/>
          <w:szCs w:val="20"/>
        </w:rPr>
      </w:pPr>
      <w:proofErr w:type="spellStart"/>
      <w:r w:rsidRPr="00DF5339">
        <w:rPr>
          <w:rFonts w:ascii="Calibri" w:hAnsi="Calibri" w:cs="Calibri"/>
          <w:b/>
          <w:color w:val="231F20"/>
          <w:sz w:val="20"/>
        </w:rPr>
        <w:t>Bibliografia</w:t>
      </w:r>
      <w:proofErr w:type="spellEnd"/>
      <w:r w:rsidRPr="00DF5339">
        <w:rPr>
          <w:rFonts w:ascii="Calibri" w:hAnsi="Calibri" w:cs="Calibri"/>
          <w:b/>
          <w:color w:val="231F20"/>
          <w:sz w:val="20"/>
        </w:rPr>
        <w:tab/>
        <w:t>247</w:t>
      </w:r>
    </w:p>
    <w:sectPr w:rsidR="003C4575" w:rsidRPr="00DF5339">
      <w:pgSz w:w="9530" w:h="13610"/>
      <w:pgMar w:top="1140" w:right="10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A34"/>
    <w:multiLevelType w:val="multilevel"/>
    <w:tmpl w:val="A1CCBFF0"/>
    <w:lvl w:ilvl="0">
      <w:start w:val="3"/>
      <w:numFmt w:val="decimal"/>
      <w:lvlText w:val="%1"/>
      <w:lvlJc w:val="left"/>
      <w:pPr>
        <w:ind w:left="507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89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415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8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2" w:hanging="389"/>
      </w:pPr>
      <w:rPr>
        <w:rFonts w:hint="default"/>
      </w:rPr>
    </w:lvl>
  </w:abstractNum>
  <w:abstractNum w:abstractNumId="1" w15:restartNumberingAfterBreak="0">
    <w:nsid w:val="241209CC"/>
    <w:multiLevelType w:val="multilevel"/>
    <w:tmpl w:val="0F408146"/>
    <w:lvl w:ilvl="0">
      <w:start w:val="2"/>
      <w:numFmt w:val="decimal"/>
      <w:lvlText w:val="%1"/>
      <w:lvlJc w:val="left"/>
      <w:pPr>
        <w:ind w:left="507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875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8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9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3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7" w:hanging="390"/>
      </w:pPr>
      <w:rPr>
        <w:rFonts w:hint="default"/>
      </w:rPr>
    </w:lvl>
  </w:abstractNum>
  <w:abstractNum w:abstractNumId="2" w15:restartNumberingAfterBreak="0">
    <w:nsid w:val="750E67DF"/>
    <w:multiLevelType w:val="multilevel"/>
    <w:tmpl w:val="FA3209D0"/>
    <w:lvl w:ilvl="0">
      <w:start w:val="1"/>
      <w:numFmt w:val="decimal"/>
      <w:lvlText w:val="%1"/>
      <w:lvlJc w:val="left"/>
      <w:pPr>
        <w:ind w:left="499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267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5" w:hanging="390"/>
      </w:pPr>
      <w:rPr>
        <w:rFonts w:hint="default"/>
      </w:rPr>
    </w:lvl>
  </w:abstractNum>
  <w:num w:numId="1" w16cid:durableId="1152991446">
    <w:abstractNumId w:val="0"/>
  </w:num>
  <w:num w:numId="2" w16cid:durableId="471943925">
    <w:abstractNumId w:val="1"/>
  </w:num>
  <w:num w:numId="3" w16cid:durableId="2144611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575"/>
    <w:rsid w:val="003C4575"/>
    <w:rsid w:val="00D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2888"/>
  <w15:docId w15:val="{84CB353D-CA78-43FB-9DA3-3814B03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  <w:ind w:left="20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Metodologiczna rekonstrukcja warunków tworzenia wiedzy – wybrane zagadnienia</dc:title>
  <dc:creator>Danuta-Urbaniak-Zając</dc:creator>
  <cp:lastModifiedBy>Zdzisław Gralka</cp:lastModifiedBy>
  <cp:revision>3</cp:revision>
  <dcterms:created xsi:type="dcterms:W3CDTF">2022-09-13T08:44:00Z</dcterms:created>
  <dcterms:modified xsi:type="dcterms:W3CDTF">2022-09-13T06:46:00Z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