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1D" w:rsidRPr="00E1611D" w:rsidRDefault="00E1611D" w:rsidP="00E1611D">
      <w:pPr>
        <w:pStyle w:val="TableParagraph"/>
        <w:spacing w:before="3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 xml:space="preserve">Wstęp 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9</w:t>
      </w:r>
    </w:p>
    <w:p w:rsidR="00E1611D" w:rsidRPr="00E1611D" w:rsidRDefault="00E1611D" w:rsidP="00E1611D">
      <w:pPr>
        <w:pStyle w:val="TableParagraph"/>
        <w:spacing w:before="7"/>
        <w:ind w:left="709" w:hanging="720"/>
        <w:rPr>
          <w:rFonts w:ascii="Calibri" w:eastAsia="Calibri" w:hAnsi="Calibri" w:cs="Calibri"/>
          <w:b/>
          <w:bCs/>
          <w:lang w:val="pl-PL"/>
        </w:rPr>
      </w:pPr>
    </w:p>
    <w:p w:rsidR="00E1611D" w:rsidRPr="00E1611D" w:rsidRDefault="00E1611D" w:rsidP="00E1611D">
      <w:pPr>
        <w:pStyle w:val="TableParagraph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Rozdział 1</w:t>
      </w:r>
      <w:r w:rsidRPr="00E1611D">
        <w:rPr>
          <w:rFonts w:ascii="Calibri" w:eastAsia="Calibri" w:hAnsi="Calibri" w:cs="Calibri"/>
          <w:lang w:val="pl-PL"/>
        </w:rPr>
        <w:t xml:space="preserve">. </w:t>
      </w:r>
      <w:r w:rsidRPr="00E1611D">
        <w:rPr>
          <w:rFonts w:ascii="Calibri" w:hAnsi="Calibri"/>
          <w:b/>
          <w:color w:val="231F20"/>
          <w:lang w:val="pl-PL"/>
        </w:rPr>
        <w:t>Kształtowanie bezpieczeństwa i stabilności systemu finansowego poprzez politykę pieniężną i fiskalną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b/>
          <w:color w:val="231F20"/>
          <w:lang w:val="pl-PL"/>
        </w:rPr>
        <w:t>13</w:t>
      </w:r>
    </w:p>
    <w:p w:rsidR="00E1611D" w:rsidRPr="00E1611D" w:rsidRDefault="00E1611D" w:rsidP="00E1611D">
      <w:pPr>
        <w:pStyle w:val="TableParagraph"/>
        <w:spacing w:before="8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1.1.</w:t>
      </w:r>
      <w:r w:rsidRPr="00E1611D"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Wstęp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13</w:t>
      </w:r>
    </w:p>
    <w:p w:rsidR="00E1611D" w:rsidRPr="00E1611D" w:rsidRDefault="00E1611D" w:rsidP="00E1611D">
      <w:pPr>
        <w:pStyle w:val="TableParagraph"/>
        <w:spacing w:before="4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1.2.</w:t>
      </w:r>
      <w:r w:rsidRPr="00E1611D"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Polityka pieniężna i polityka fiskalna a stabilność i bezpieczeństwo systemu finansowego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17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1.3.</w:t>
      </w:r>
      <w:r w:rsidRPr="00E1611D"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eastAsia="Calibri" w:hAnsi="Calibri" w:cs="Calibri"/>
          <w:color w:val="231F20"/>
          <w:lang w:val="pl-PL"/>
        </w:rPr>
        <w:t>Stabilność i bezpieczeństwo systemu finansowego – wybrane mierniki gospodarcze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28</w:t>
      </w:r>
    </w:p>
    <w:p w:rsidR="00E1611D" w:rsidRPr="00E1611D" w:rsidRDefault="00E1611D" w:rsidP="00E1611D">
      <w:pPr>
        <w:pStyle w:val="TableParagraph"/>
        <w:spacing w:before="4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1.4.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Przykłady działań antykryzysowych wpływających na stabilność systemu finansowego w ramach polityki pieniężnej i fiskalnej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45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1.5.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Podsumowanie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64</w:t>
      </w:r>
    </w:p>
    <w:p w:rsidR="00E1611D" w:rsidRPr="00E1611D" w:rsidRDefault="00E1611D" w:rsidP="00E1611D">
      <w:pPr>
        <w:pStyle w:val="TableParagraph"/>
        <w:spacing w:before="7"/>
        <w:ind w:left="709" w:hanging="720"/>
        <w:rPr>
          <w:rFonts w:ascii="Calibri" w:eastAsia="Calibri" w:hAnsi="Calibri" w:cs="Calibri"/>
          <w:b/>
          <w:bCs/>
          <w:lang w:val="pl-PL"/>
        </w:rPr>
      </w:pPr>
    </w:p>
    <w:p w:rsidR="00E1611D" w:rsidRPr="00E1611D" w:rsidRDefault="00E1611D" w:rsidP="00E1611D">
      <w:pPr>
        <w:pStyle w:val="TableParagraph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Rozdział 2</w:t>
      </w:r>
      <w:r w:rsidRPr="00E1611D">
        <w:rPr>
          <w:rFonts w:ascii="Calibri" w:eastAsia="Calibri" w:hAnsi="Calibri" w:cs="Calibri"/>
          <w:lang w:val="pl-PL"/>
        </w:rPr>
        <w:t xml:space="preserve">. </w:t>
      </w:r>
      <w:r w:rsidRPr="00E1611D">
        <w:rPr>
          <w:rFonts w:ascii="Calibri" w:hAnsi="Calibri"/>
          <w:b/>
          <w:color w:val="231F20"/>
          <w:lang w:val="pl-PL"/>
        </w:rPr>
        <w:t>Bezpieczeństwo obrotu gospodarczego w Polsce a wybrane instrumenty ordynacji podatkowej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b/>
          <w:color w:val="231F20"/>
          <w:lang w:val="pl-PL"/>
        </w:rPr>
        <w:t>67</w:t>
      </w:r>
    </w:p>
    <w:p w:rsidR="00E1611D" w:rsidRPr="00E1611D" w:rsidRDefault="00E1611D" w:rsidP="00E1611D">
      <w:pPr>
        <w:pStyle w:val="TableParagraph"/>
        <w:spacing w:before="8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2.1.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Wstęp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67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2.2.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Rozstrzyganie wątpliwości na rzecz podatnika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68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</w:rPr>
      </w:pPr>
      <w:r w:rsidRPr="00E1611D">
        <w:rPr>
          <w:rFonts w:ascii="Calibri" w:hAnsi="Calibri"/>
          <w:color w:val="231F20"/>
        </w:rPr>
        <w:t>2.3.</w:t>
      </w:r>
      <w:r>
        <w:rPr>
          <w:rFonts w:ascii="Calibri" w:eastAsia="Calibri" w:hAnsi="Calibri" w:cs="Calibri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Klauzula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przeciwko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unikaniu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opodatkowania</w:t>
      </w:r>
      <w:proofErr w:type="spellEnd"/>
      <w:r w:rsidRPr="00E1611D">
        <w:rPr>
          <w:rFonts w:ascii="Calibri" w:eastAsia="Calibri" w:hAnsi="Calibri" w:cs="Calibri"/>
        </w:rPr>
        <w:tab/>
      </w:r>
      <w:r w:rsidRPr="00E1611D">
        <w:rPr>
          <w:rFonts w:ascii="Calibri" w:hAnsi="Calibri"/>
          <w:color w:val="231F20"/>
        </w:rPr>
        <w:t>71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</w:rPr>
      </w:pPr>
      <w:r w:rsidRPr="00E1611D">
        <w:rPr>
          <w:rFonts w:ascii="Calibri" w:hAnsi="Calibri"/>
          <w:color w:val="231F20"/>
        </w:rPr>
        <w:t>2.4.</w:t>
      </w:r>
      <w:r>
        <w:rPr>
          <w:rFonts w:ascii="Calibri" w:eastAsia="Calibri" w:hAnsi="Calibri" w:cs="Calibri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Interpretacje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prawa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podatkowego</w:t>
      </w:r>
      <w:proofErr w:type="spellEnd"/>
    </w:p>
    <w:p w:rsidR="00E1611D" w:rsidRPr="00E1611D" w:rsidRDefault="00E1611D" w:rsidP="00E1611D">
      <w:pPr>
        <w:pStyle w:val="Akapitzlist"/>
        <w:numPr>
          <w:ilvl w:val="2"/>
          <w:numId w:val="1"/>
        </w:numPr>
        <w:spacing w:before="41"/>
        <w:ind w:left="851" w:hanging="437"/>
        <w:rPr>
          <w:rFonts w:ascii="Calibri" w:eastAsia="Calibri" w:hAnsi="Calibri" w:cs="Calibri"/>
        </w:rPr>
      </w:pPr>
      <w:proofErr w:type="spellStart"/>
      <w:r w:rsidRPr="00E1611D">
        <w:rPr>
          <w:rFonts w:ascii="Calibri" w:hAnsi="Calibri"/>
          <w:color w:val="231F20"/>
        </w:rPr>
        <w:t>Indywidualne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interpretacje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podatkowe</w:t>
      </w:r>
      <w:proofErr w:type="spellEnd"/>
      <w:r>
        <w:rPr>
          <w:rFonts w:ascii="Calibri" w:hAnsi="Calibri"/>
          <w:color w:val="231F20"/>
        </w:rPr>
        <w:tab/>
        <w:t>80</w:t>
      </w:r>
    </w:p>
    <w:p w:rsidR="00E1611D" w:rsidRDefault="00E1611D" w:rsidP="00E1611D">
      <w:pPr>
        <w:pStyle w:val="Akapitzlist"/>
        <w:numPr>
          <w:ilvl w:val="2"/>
          <w:numId w:val="1"/>
        </w:numPr>
        <w:spacing w:before="41"/>
        <w:ind w:left="851" w:hanging="437"/>
        <w:rPr>
          <w:rFonts w:ascii="Calibri" w:eastAsia="Calibri" w:hAnsi="Calibri" w:cs="Calibri"/>
        </w:rPr>
      </w:pPr>
      <w:proofErr w:type="spellStart"/>
      <w:r w:rsidRPr="00E1611D">
        <w:rPr>
          <w:rFonts w:ascii="Calibri" w:hAnsi="Calibri"/>
          <w:color w:val="231F20"/>
        </w:rPr>
        <w:t>Ogólne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interpretacje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podatkowe</w:t>
      </w:r>
      <w:proofErr w:type="spellEnd"/>
      <w:r>
        <w:rPr>
          <w:rFonts w:ascii="Calibri" w:eastAsia="Calibri" w:hAnsi="Calibri" w:cs="Calibri"/>
        </w:rPr>
        <w:tab/>
        <w:t>80</w:t>
      </w:r>
    </w:p>
    <w:p w:rsidR="00E1611D" w:rsidRPr="00E1611D" w:rsidRDefault="00E1611D" w:rsidP="00E1611D">
      <w:pPr>
        <w:pStyle w:val="Akapitzlist"/>
        <w:numPr>
          <w:ilvl w:val="2"/>
          <w:numId w:val="1"/>
        </w:numPr>
        <w:spacing w:before="41"/>
        <w:ind w:left="851" w:hanging="437"/>
        <w:rPr>
          <w:rFonts w:ascii="Calibri" w:eastAsia="Calibri" w:hAnsi="Calibri" w:cs="Calibri"/>
        </w:rPr>
      </w:pPr>
      <w:proofErr w:type="spellStart"/>
      <w:r w:rsidRPr="00E1611D">
        <w:rPr>
          <w:rFonts w:ascii="Calibri" w:hAnsi="Calibri"/>
          <w:color w:val="231F20"/>
        </w:rPr>
        <w:t>Utrwalona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praktyka</w:t>
      </w:r>
      <w:proofErr w:type="spellEnd"/>
      <w:r w:rsidRPr="00E1611D">
        <w:rPr>
          <w:rFonts w:ascii="Calibri" w:eastAsia="Calibri" w:hAnsi="Calibri" w:cs="Calibri"/>
        </w:rPr>
        <w:tab/>
      </w:r>
      <w:r w:rsidRPr="00E1611D">
        <w:rPr>
          <w:rFonts w:ascii="Calibri" w:hAnsi="Calibri"/>
          <w:color w:val="231F20"/>
        </w:rPr>
        <w:t>8</w:t>
      </w:r>
      <w:r>
        <w:rPr>
          <w:rFonts w:ascii="Calibri" w:hAnsi="Calibri"/>
          <w:color w:val="231F20"/>
        </w:rPr>
        <w:t>6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2.5.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Blokada rachunku bankowego w ramach STIR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89</w:t>
      </w:r>
    </w:p>
    <w:p w:rsidR="00E1611D" w:rsidRPr="00E1611D" w:rsidRDefault="00E1611D" w:rsidP="00E1611D">
      <w:pPr>
        <w:pStyle w:val="TableParagraph"/>
        <w:spacing w:before="12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2.6.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Wykorzystanie regulacji dotyczących szacowania podstawy opodatkowania do kwestionowania kosztów podatkowych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91</w:t>
      </w:r>
    </w:p>
    <w:p w:rsidR="00E1611D" w:rsidRPr="00E1611D" w:rsidRDefault="00E1611D" w:rsidP="00E1611D">
      <w:pPr>
        <w:pStyle w:val="TableParagraph"/>
        <w:spacing w:before="12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2.7.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Podsumowanie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106</w:t>
      </w:r>
    </w:p>
    <w:p w:rsidR="00E1611D" w:rsidRDefault="00E1611D" w:rsidP="00E1611D">
      <w:pPr>
        <w:pStyle w:val="TableParagraph"/>
        <w:spacing w:before="34"/>
        <w:ind w:left="709" w:hanging="720"/>
        <w:rPr>
          <w:rFonts w:ascii="Calibri" w:hAnsi="Calibri"/>
          <w:color w:val="231F20"/>
          <w:lang w:val="pl-PL"/>
        </w:rPr>
      </w:pPr>
    </w:p>
    <w:p w:rsidR="00E1611D" w:rsidRPr="00E1611D" w:rsidRDefault="00E1611D" w:rsidP="00E1611D">
      <w:pPr>
        <w:pStyle w:val="TableParagraph"/>
        <w:spacing w:before="34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Rozdział 3</w:t>
      </w:r>
      <w:r>
        <w:rPr>
          <w:rFonts w:ascii="Calibri" w:eastAsia="Calibri" w:hAnsi="Calibri" w:cs="Calibri"/>
          <w:lang w:val="pl-PL"/>
        </w:rPr>
        <w:t xml:space="preserve">. </w:t>
      </w:r>
      <w:r w:rsidRPr="00E1611D">
        <w:rPr>
          <w:rFonts w:ascii="Calibri" w:hAnsi="Calibri"/>
          <w:b/>
          <w:color w:val="231F20"/>
          <w:lang w:val="pl-PL"/>
        </w:rPr>
        <w:t>Bezpieczeństwo jako wyzwanie systemu ochrony konsumenta na rynku finansowym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b/>
          <w:color w:val="231F20"/>
          <w:lang w:val="pl-PL"/>
        </w:rPr>
        <w:t>109</w:t>
      </w:r>
    </w:p>
    <w:p w:rsidR="00E1611D" w:rsidRPr="00E1611D" w:rsidRDefault="00E1611D" w:rsidP="00E1611D">
      <w:pPr>
        <w:pStyle w:val="TableParagraph"/>
        <w:spacing w:before="8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3.1.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Wstęp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109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3.2.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eastAsia="Calibri" w:hAnsi="Calibri" w:cs="Calibri"/>
          <w:color w:val="231F20"/>
          <w:lang w:val="pl-PL"/>
        </w:rPr>
        <w:t>Bezpieczeństwo  finansowe – aspekt definicyjny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110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3.3.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Regulacje ochrony konsumenta na rynku finansowym, w tym bankowym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119</w:t>
      </w:r>
    </w:p>
    <w:p w:rsidR="00E1611D" w:rsidRPr="00E1611D" w:rsidRDefault="00E1611D" w:rsidP="00E1611D">
      <w:pPr>
        <w:pStyle w:val="TableParagraph"/>
        <w:spacing w:before="4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3.4.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Nowy paradygmat regulacyjny i zasady systemu ochrony konsumenta na rynkach finansowych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124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3.5.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Zagrożenia, kaskada problemów i ich rozwiązania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132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3.6.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Ignorancja finansowa po stronie konsumentów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149</w:t>
      </w:r>
    </w:p>
    <w:p w:rsid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3.7.</w:t>
      </w:r>
      <w:r>
        <w:rPr>
          <w:rFonts w:ascii="Calibri" w:eastAsia="Calibri" w:hAnsi="Calibri" w:cs="Calibri"/>
          <w:lang w:val="pl-PL"/>
        </w:rPr>
        <w:t xml:space="preserve"> </w:t>
      </w:r>
      <w:r w:rsidRPr="00E1611D">
        <w:rPr>
          <w:rFonts w:ascii="Calibri" w:hAnsi="Calibri"/>
          <w:color w:val="231F20"/>
          <w:lang w:val="pl-PL"/>
        </w:rPr>
        <w:t>Podsumowanie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159</w:t>
      </w:r>
    </w:p>
    <w:p w:rsidR="00E1611D" w:rsidRPr="00E1611D" w:rsidRDefault="00E1611D" w:rsidP="00E1611D">
      <w:pPr>
        <w:pStyle w:val="TableParagraph"/>
        <w:spacing w:before="11"/>
        <w:ind w:left="709" w:hanging="720"/>
        <w:rPr>
          <w:rFonts w:ascii="Calibri" w:eastAsia="Calibri" w:hAnsi="Calibri" w:cs="Calibri"/>
          <w:lang w:val="pl-PL"/>
        </w:rPr>
      </w:pPr>
    </w:p>
    <w:p w:rsidR="00E1611D" w:rsidRPr="00E1611D" w:rsidRDefault="00E1611D" w:rsidP="00E1611D">
      <w:pPr>
        <w:pStyle w:val="TableParagraph"/>
        <w:spacing w:before="142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Zakończenie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163</w:t>
      </w:r>
    </w:p>
    <w:p w:rsidR="00E1611D" w:rsidRPr="00E1611D" w:rsidRDefault="00E1611D" w:rsidP="00E1611D">
      <w:pPr>
        <w:pStyle w:val="TableParagraph"/>
        <w:spacing w:before="142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Bibliografia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173</w:t>
      </w:r>
    </w:p>
    <w:p w:rsidR="00E1611D" w:rsidRPr="00E1611D" w:rsidRDefault="00E1611D" w:rsidP="00E1611D">
      <w:pPr>
        <w:pStyle w:val="TableParagraph"/>
        <w:spacing w:before="142"/>
        <w:ind w:left="709" w:hanging="720"/>
        <w:rPr>
          <w:rFonts w:ascii="Calibri" w:eastAsia="Calibri" w:hAnsi="Calibri" w:cs="Calibri"/>
          <w:lang w:val="pl-PL"/>
        </w:rPr>
      </w:pPr>
      <w:r w:rsidRPr="00E1611D">
        <w:rPr>
          <w:rFonts w:ascii="Calibri" w:hAnsi="Calibri"/>
          <w:color w:val="231F20"/>
          <w:lang w:val="pl-PL"/>
        </w:rPr>
        <w:t>Spis schematów i wykresów</w:t>
      </w:r>
      <w:r w:rsidRPr="00E1611D">
        <w:rPr>
          <w:rFonts w:ascii="Calibri" w:eastAsia="Calibri" w:hAnsi="Calibri" w:cs="Calibri"/>
          <w:lang w:val="pl-PL"/>
        </w:rPr>
        <w:tab/>
      </w:r>
      <w:r w:rsidRPr="00E1611D">
        <w:rPr>
          <w:rFonts w:ascii="Calibri" w:hAnsi="Calibri"/>
          <w:color w:val="231F20"/>
          <w:lang w:val="pl-PL"/>
        </w:rPr>
        <w:t>197</w:t>
      </w:r>
    </w:p>
    <w:p w:rsidR="00E1611D" w:rsidRPr="00E1611D" w:rsidRDefault="00E1611D" w:rsidP="00E1611D">
      <w:pPr>
        <w:pStyle w:val="TableParagraph"/>
        <w:spacing w:before="142"/>
        <w:ind w:left="709" w:hanging="720"/>
        <w:rPr>
          <w:rFonts w:ascii="Calibri" w:eastAsia="Calibri" w:hAnsi="Calibri" w:cs="Calibri"/>
        </w:rPr>
      </w:pPr>
      <w:proofErr w:type="spellStart"/>
      <w:r w:rsidRPr="00E1611D">
        <w:rPr>
          <w:rFonts w:ascii="Calibri" w:hAnsi="Calibri"/>
          <w:color w:val="231F20"/>
        </w:rPr>
        <w:t>Spis</w:t>
      </w:r>
      <w:proofErr w:type="spellEnd"/>
      <w:r w:rsidRPr="00E1611D">
        <w:rPr>
          <w:rFonts w:ascii="Calibri" w:hAnsi="Calibri"/>
          <w:color w:val="231F20"/>
        </w:rPr>
        <w:t xml:space="preserve"> </w:t>
      </w:r>
      <w:proofErr w:type="spellStart"/>
      <w:r w:rsidRPr="00E1611D">
        <w:rPr>
          <w:rFonts w:ascii="Calibri" w:hAnsi="Calibri"/>
          <w:color w:val="231F20"/>
        </w:rPr>
        <w:t>tabel</w:t>
      </w:r>
      <w:proofErr w:type="spellEnd"/>
      <w:r w:rsidRPr="00E1611D">
        <w:rPr>
          <w:rFonts w:ascii="Calibri" w:eastAsia="Calibri" w:hAnsi="Calibri" w:cs="Calibri"/>
        </w:rPr>
        <w:tab/>
      </w:r>
      <w:r w:rsidRPr="00E1611D">
        <w:rPr>
          <w:rFonts w:ascii="Calibri" w:hAnsi="Calibri"/>
          <w:color w:val="231F20"/>
        </w:rPr>
        <w:t>199</w:t>
      </w:r>
      <w:bookmarkStart w:id="0" w:name="_GoBack"/>
      <w:bookmarkEnd w:id="0"/>
    </w:p>
    <w:sectPr w:rsidR="00E1611D" w:rsidRPr="00E1611D">
      <w:pgSz w:w="9530" w:h="13610"/>
      <w:pgMar w:top="760" w:right="9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A53"/>
    <w:multiLevelType w:val="multilevel"/>
    <w:tmpl w:val="DABE3DB0"/>
    <w:lvl w:ilvl="0">
      <w:start w:val="2"/>
      <w:numFmt w:val="decimal"/>
      <w:lvlText w:val="%1"/>
      <w:lvlJc w:val="left"/>
      <w:pPr>
        <w:ind w:left="490" w:hanging="42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0" w:hanging="42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5" w:hanging="427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3">
      <w:start w:val="1"/>
      <w:numFmt w:val="bullet"/>
      <w:lvlText w:val="•"/>
      <w:lvlJc w:val="left"/>
      <w:pPr>
        <w:ind w:left="2256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5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4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2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1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0" w:hanging="4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4F71"/>
    <w:rsid w:val="00C64F71"/>
    <w:rsid w:val="00E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490" w:hanging="427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2021-02-24T09:45:00Z</dcterms:created>
  <dcterms:modified xsi:type="dcterms:W3CDTF">2021-02-24T08:51:00Z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2021-02-24T00:00:00Z</vt:filetime>
  </property>
</Properties>
</file>