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80" w:rsidRPr="00080E3A" w:rsidRDefault="00A23299" w:rsidP="00A23299">
      <w:pPr>
        <w:ind w:left="117"/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Wst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ęp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7</w:t>
      </w:r>
    </w:p>
    <w:p w:rsidR="00A23299" w:rsidRDefault="00A23299" w:rsidP="00A23299">
      <w:pPr>
        <w:ind w:left="117"/>
        <w:rPr>
          <w:rFonts w:ascii="Calibri" w:hAnsi="Calibri" w:cs="Calibri"/>
          <w:color w:val="231F20"/>
          <w:sz w:val="20"/>
          <w:szCs w:val="20"/>
          <w:lang w:val="pl-PL"/>
        </w:rPr>
      </w:pPr>
    </w:p>
    <w:p w:rsidR="00FF0480" w:rsidRPr="00080E3A" w:rsidRDefault="00A23299" w:rsidP="00A23299">
      <w:pPr>
        <w:ind w:left="117"/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Rozdział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1</w:t>
      </w:r>
      <w:r>
        <w:rPr>
          <w:rFonts w:ascii="Calibri" w:hAnsi="Calibri" w:cs="Calibri"/>
          <w:color w:val="231F20"/>
          <w:sz w:val="20"/>
          <w:szCs w:val="20"/>
          <w:lang w:val="pl-PL"/>
        </w:rPr>
        <w:t xml:space="preserve">. 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>Teor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>e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>tyczne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>aspekty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>nadzoru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>korporacyjneg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>o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ab/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>13</w:t>
      </w:r>
    </w:p>
    <w:p w:rsidR="00FF0480" w:rsidRPr="00080E3A" w:rsidRDefault="00A23299" w:rsidP="00A23299">
      <w:pPr>
        <w:numPr>
          <w:ilvl w:val="1"/>
          <w:numId w:val="4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P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ojęcie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ist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ot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nadz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oru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k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orpor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ac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yjne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g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13</w:t>
      </w:r>
    </w:p>
    <w:p w:rsidR="00FF0480" w:rsidRPr="00080E3A" w:rsidRDefault="00A23299" w:rsidP="00A23299">
      <w:pPr>
        <w:numPr>
          <w:ilvl w:val="1"/>
          <w:numId w:val="4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Syst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emy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nadz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oru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k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orpor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ac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yjne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g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18</w:t>
      </w:r>
    </w:p>
    <w:p w:rsidR="00FF0480" w:rsidRPr="00080E3A" w:rsidRDefault="00A23299" w:rsidP="00A23299">
      <w:pPr>
        <w:numPr>
          <w:ilvl w:val="2"/>
          <w:numId w:val="4"/>
        </w:numPr>
        <w:ind w:hanging="439"/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Syst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em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anglosaski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ab/>
        <w:t>19</w:t>
      </w:r>
    </w:p>
    <w:p w:rsidR="00FF0480" w:rsidRPr="00080E3A" w:rsidRDefault="00A23299" w:rsidP="00A23299">
      <w:pPr>
        <w:numPr>
          <w:ilvl w:val="2"/>
          <w:numId w:val="4"/>
        </w:numPr>
        <w:ind w:hanging="439"/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System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kontynentalny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21</w:t>
      </w:r>
    </w:p>
    <w:p w:rsidR="00FF0480" w:rsidRPr="00080E3A" w:rsidRDefault="00A23299" w:rsidP="00A23299">
      <w:pPr>
        <w:numPr>
          <w:ilvl w:val="2"/>
          <w:numId w:val="4"/>
        </w:numPr>
        <w:ind w:hanging="439"/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Syst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em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łaciński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ab/>
        <w:t>24</w:t>
      </w:r>
    </w:p>
    <w:p w:rsidR="00FF0480" w:rsidRPr="00080E3A" w:rsidRDefault="00A23299" w:rsidP="00A23299">
      <w:pPr>
        <w:numPr>
          <w:ilvl w:val="2"/>
          <w:numId w:val="4"/>
        </w:numPr>
        <w:ind w:hanging="439"/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Syst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em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japoński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ab/>
        <w:t>25</w:t>
      </w:r>
    </w:p>
    <w:p w:rsidR="00FF0480" w:rsidRPr="00080E3A" w:rsidRDefault="00A23299" w:rsidP="00A23299">
      <w:pPr>
        <w:numPr>
          <w:ilvl w:val="1"/>
          <w:numId w:val="4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Mechanizmy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nadzoru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korporacyjnego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27</w:t>
      </w:r>
    </w:p>
    <w:p w:rsidR="00FF0480" w:rsidRPr="00080E3A" w:rsidRDefault="00A23299" w:rsidP="00A23299">
      <w:pPr>
        <w:numPr>
          <w:ilvl w:val="1"/>
          <w:numId w:val="4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Model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nadz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oru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k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orpor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ac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yjne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g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zamknię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ty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model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otwarty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29</w:t>
      </w:r>
    </w:p>
    <w:p w:rsidR="00FF0480" w:rsidRPr="00A23299" w:rsidRDefault="00A23299" w:rsidP="00A23299">
      <w:pPr>
        <w:numPr>
          <w:ilvl w:val="1"/>
          <w:numId w:val="4"/>
        </w:numPr>
        <w:ind w:left="437"/>
        <w:rPr>
          <w:rFonts w:ascii="Calibri" w:eastAsia="Calibri" w:hAnsi="Calibri" w:cs="Calibri"/>
          <w:sz w:val="20"/>
          <w:szCs w:val="20"/>
          <w:lang w:val="pl-PL"/>
        </w:rPr>
      </w:pP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Nadz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ór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inwestorów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instytucjonalnych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nad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spółkami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portf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elo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wymi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punk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t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u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widzenia</w:t>
      </w:r>
      <w:r w:rsidRPr="00A23299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teorii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agencji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32</w:t>
      </w:r>
    </w:p>
    <w:p w:rsidR="00FF0480" w:rsidRPr="00080E3A" w:rsidRDefault="00A23299" w:rsidP="00A23299">
      <w:pPr>
        <w:ind w:left="117"/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Podsumowanie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39</w:t>
      </w:r>
    </w:p>
    <w:p w:rsidR="00A23299" w:rsidRDefault="00A23299" w:rsidP="00A23299">
      <w:pPr>
        <w:ind w:left="117"/>
        <w:rPr>
          <w:rFonts w:ascii="Calibri" w:hAnsi="Calibri" w:cs="Calibri"/>
          <w:color w:val="231F20"/>
          <w:sz w:val="20"/>
          <w:szCs w:val="20"/>
          <w:lang w:val="pl-PL"/>
        </w:rPr>
      </w:pPr>
    </w:p>
    <w:p w:rsidR="00FF0480" w:rsidRPr="00080E3A" w:rsidRDefault="00A23299" w:rsidP="00A23299">
      <w:pPr>
        <w:ind w:left="117"/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Rozdział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2</w:t>
      </w:r>
      <w:r>
        <w:rPr>
          <w:rFonts w:ascii="Calibri" w:hAnsi="Calibri" w:cs="Calibri"/>
          <w:color w:val="231F20"/>
          <w:sz w:val="20"/>
          <w:szCs w:val="20"/>
          <w:lang w:val="pl-PL"/>
        </w:rPr>
        <w:t xml:space="preserve">. 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>Inwestorzy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instytucjonalni 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>jak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>o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>uczestnicy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>rynku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>kapitałow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>e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>g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>o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ab/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>41</w:t>
      </w:r>
    </w:p>
    <w:p w:rsidR="00FF0480" w:rsidRPr="00080E3A" w:rsidRDefault="00A23299" w:rsidP="00A23299">
      <w:pPr>
        <w:numPr>
          <w:ilvl w:val="1"/>
          <w:numId w:val="3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Zdefinio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anie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pojęcia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inwestor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instytucjonalneg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41</w:t>
      </w:r>
    </w:p>
    <w:p w:rsidR="00FF0480" w:rsidRPr="00080E3A" w:rsidRDefault="00A23299" w:rsidP="00A23299">
      <w:pPr>
        <w:numPr>
          <w:ilvl w:val="1"/>
          <w:numId w:val="3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Typologie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inwestorów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instytucjonalnych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45</w:t>
      </w:r>
    </w:p>
    <w:p w:rsidR="00FF0480" w:rsidRPr="00080E3A" w:rsidRDefault="00A23299" w:rsidP="00A23299">
      <w:pPr>
        <w:numPr>
          <w:ilvl w:val="1"/>
          <w:numId w:val="3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Klasyfikacje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inwestorów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instytucjonalnych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52</w:t>
      </w:r>
    </w:p>
    <w:p w:rsidR="00FF0480" w:rsidRPr="00080E3A" w:rsidRDefault="00A23299" w:rsidP="00A23299">
      <w:pPr>
        <w:numPr>
          <w:ilvl w:val="1"/>
          <w:numId w:val="3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Rodzaje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inwestorów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instytucjonalnych</w:t>
      </w:r>
      <w:r>
        <w:rPr>
          <w:rFonts w:ascii="Calibri" w:hAnsi="Calibri" w:cs="Calibri"/>
          <w:color w:val="231F20"/>
          <w:sz w:val="20"/>
          <w:szCs w:val="20"/>
          <w:lang w:val="pl-PL"/>
        </w:rPr>
        <w:t xml:space="preserve"> 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59</w:t>
      </w:r>
    </w:p>
    <w:p w:rsidR="00FF0480" w:rsidRPr="00080E3A" w:rsidRDefault="00A23299" w:rsidP="00A23299">
      <w:pPr>
        <w:numPr>
          <w:ilvl w:val="2"/>
          <w:numId w:val="3"/>
        </w:numPr>
        <w:ind w:hanging="439"/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Fundusze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inwestycyjne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60</w:t>
      </w:r>
    </w:p>
    <w:p w:rsidR="00FF0480" w:rsidRPr="00080E3A" w:rsidRDefault="00A23299" w:rsidP="00A23299">
      <w:pPr>
        <w:numPr>
          <w:ilvl w:val="2"/>
          <w:numId w:val="3"/>
        </w:numPr>
        <w:ind w:hanging="439"/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Fundusze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emerytalne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64</w:t>
      </w:r>
    </w:p>
    <w:p w:rsidR="00FF0480" w:rsidRPr="00080E3A" w:rsidRDefault="00A23299" w:rsidP="00A23299">
      <w:pPr>
        <w:numPr>
          <w:ilvl w:val="2"/>
          <w:numId w:val="3"/>
        </w:numPr>
        <w:ind w:hanging="439"/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Towarzystwa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ubezpieczeniowe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65</w:t>
      </w:r>
    </w:p>
    <w:p w:rsidR="00FF0480" w:rsidRPr="00080E3A" w:rsidRDefault="00A23299" w:rsidP="00A23299">
      <w:pPr>
        <w:numPr>
          <w:ilvl w:val="2"/>
          <w:numId w:val="3"/>
        </w:numPr>
        <w:ind w:hanging="439"/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Firmy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ar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ządzając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e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ak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tyw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ami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65</w:t>
      </w:r>
    </w:p>
    <w:p w:rsidR="00FF0480" w:rsidRPr="00080E3A" w:rsidRDefault="00A23299" w:rsidP="00A23299">
      <w:pPr>
        <w:numPr>
          <w:ilvl w:val="2"/>
          <w:numId w:val="3"/>
        </w:numPr>
        <w:ind w:hanging="439"/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Banki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ab/>
        <w:t>66</w:t>
      </w:r>
    </w:p>
    <w:p w:rsidR="00FF0480" w:rsidRPr="00080E3A" w:rsidRDefault="00A23299" w:rsidP="00A23299">
      <w:pPr>
        <w:numPr>
          <w:ilvl w:val="2"/>
          <w:numId w:val="3"/>
        </w:numPr>
        <w:ind w:hanging="439"/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Fundacje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67</w:t>
      </w:r>
    </w:p>
    <w:p w:rsidR="00FF0480" w:rsidRPr="00080E3A" w:rsidRDefault="00A23299" w:rsidP="00A23299">
      <w:pPr>
        <w:numPr>
          <w:ilvl w:val="2"/>
          <w:numId w:val="3"/>
        </w:numPr>
        <w:ind w:hanging="439"/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Podmioty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państwowe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68</w:t>
      </w:r>
    </w:p>
    <w:p w:rsidR="00FF0480" w:rsidRPr="00080E3A" w:rsidRDefault="00A23299" w:rsidP="00A23299">
      <w:pPr>
        <w:numPr>
          <w:ilvl w:val="1"/>
          <w:numId w:val="3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Bariery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władztwa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k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orpor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ac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yjne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g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spr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awowane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g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prz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e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inwestorów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instytucjonalnych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69</w:t>
      </w:r>
    </w:p>
    <w:p w:rsidR="00FF0480" w:rsidRPr="00080E3A" w:rsidRDefault="00A23299" w:rsidP="00A23299">
      <w:pPr>
        <w:numPr>
          <w:ilvl w:val="2"/>
          <w:numId w:val="3"/>
        </w:numPr>
        <w:ind w:left="857"/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Dualizm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r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elacji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bizneso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wy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ch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70</w:t>
      </w:r>
    </w:p>
    <w:p w:rsidR="00FF0480" w:rsidRPr="00080E3A" w:rsidRDefault="00A23299" w:rsidP="00A23299">
      <w:pPr>
        <w:numPr>
          <w:ilvl w:val="2"/>
          <w:numId w:val="3"/>
        </w:numPr>
        <w:ind w:left="857" w:right="105"/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Ef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ektywność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syst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emów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monit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orow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ania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przy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dywer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syfik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ow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anych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portf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elach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ak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tywów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73</w:t>
      </w:r>
    </w:p>
    <w:p w:rsidR="00FF0480" w:rsidRPr="00080E3A" w:rsidRDefault="00A23299" w:rsidP="00A23299">
      <w:pPr>
        <w:ind w:left="117"/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Podsumowanie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74</w:t>
      </w:r>
    </w:p>
    <w:p w:rsidR="00A23299" w:rsidRDefault="00A23299" w:rsidP="00A23299">
      <w:pPr>
        <w:ind w:left="103"/>
        <w:rPr>
          <w:rFonts w:ascii="Calibri" w:hAnsi="Calibri" w:cs="Calibri"/>
          <w:color w:val="231F20"/>
          <w:sz w:val="20"/>
          <w:szCs w:val="20"/>
          <w:lang w:val="pl-PL"/>
        </w:rPr>
      </w:pPr>
    </w:p>
    <w:p w:rsidR="00FF0480" w:rsidRPr="00080E3A" w:rsidRDefault="00A23299" w:rsidP="00A23299">
      <w:pPr>
        <w:ind w:left="103"/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Rozdział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3</w:t>
      </w:r>
      <w:r>
        <w:rPr>
          <w:rFonts w:ascii="Calibri" w:hAnsi="Calibri" w:cs="Calibri"/>
          <w:color w:val="231F20"/>
          <w:sz w:val="20"/>
          <w:szCs w:val="20"/>
          <w:lang w:val="pl-PL"/>
        </w:rPr>
        <w:t xml:space="preserve">. 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>Normatywna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>perspektywa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>funkcjonowania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>inwestorów</w:t>
      </w:r>
      <w:r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>instytucjonalnych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>w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>kontekście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>nadzoru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>korporacyjneg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>o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ab/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>77</w:t>
      </w:r>
    </w:p>
    <w:p w:rsidR="00FF0480" w:rsidRPr="00080E3A" w:rsidRDefault="00A23299" w:rsidP="00A23299">
      <w:pPr>
        <w:numPr>
          <w:ilvl w:val="1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Narodowe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ramy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prawne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78</w:t>
      </w:r>
    </w:p>
    <w:p w:rsidR="00FF0480" w:rsidRPr="00080E3A" w:rsidRDefault="00A23299" w:rsidP="00A23299">
      <w:pPr>
        <w:numPr>
          <w:ilvl w:val="2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System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080E3A">
        <w:rPr>
          <w:rFonts w:ascii="Calibri" w:hAnsi="Calibri" w:cs="Calibri"/>
          <w:i/>
          <w:color w:val="231F20"/>
          <w:sz w:val="20"/>
          <w:szCs w:val="20"/>
          <w:lang w:val="pl-PL"/>
        </w:rPr>
        <w:t>common</w:t>
      </w:r>
      <w:proofErr w:type="spellEnd"/>
      <w:r w:rsidRPr="00080E3A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i/>
          <w:color w:val="231F20"/>
          <w:sz w:val="20"/>
          <w:szCs w:val="20"/>
          <w:lang w:val="pl-PL"/>
        </w:rPr>
        <w:t>law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ab/>
        <w:t>78</w:t>
      </w:r>
    </w:p>
    <w:p w:rsidR="00FF0480" w:rsidRPr="00080E3A" w:rsidRDefault="00A23299" w:rsidP="00A23299">
      <w:pPr>
        <w:numPr>
          <w:ilvl w:val="2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System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kontynentalny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79</w:t>
      </w:r>
    </w:p>
    <w:p w:rsidR="00FF0480" w:rsidRPr="00A23299" w:rsidRDefault="00A23299" w:rsidP="00A23299">
      <w:pPr>
        <w:numPr>
          <w:ilvl w:val="2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R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ó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żnic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e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oddziaływaniu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inwestor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instytucjonalneg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na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spółk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ę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portf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elo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 xml:space="preserve">ą </w:t>
      </w:r>
      <w:r w:rsidRPr="00A23299">
        <w:rPr>
          <w:rFonts w:ascii="Calibri" w:eastAsia="Calibri" w:hAnsi="Calibri" w:cs="Calibri"/>
          <w:color w:val="231F20"/>
          <w:sz w:val="20"/>
          <w:szCs w:val="20"/>
          <w:lang w:val="pl-PL"/>
        </w:rPr>
        <w:t>–</w:t>
      </w:r>
      <w:r w:rsidRPr="00A23299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A23299">
        <w:rPr>
          <w:rFonts w:ascii="Calibri" w:eastAsia="Calibri" w:hAnsi="Calibri" w:cs="Calibri"/>
          <w:color w:val="231F20"/>
          <w:sz w:val="20"/>
          <w:szCs w:val="20"/>
          <w:lang w:val="pl-PL"/>
        </w:rPr>
        <w:t>porównanie</w:t>
      </w:r>
      <w:r w:rsidRPr="00A23299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A23299">
        <w:rPr>
          <w:rFonts w:ascii="Calibri" w:eastAsia="Calibri" w:hAnsi="Calibri" w:cs="Calibri"/>
          <w:color w:val="231F20"/>
          <w:sz w:val="20"/>
          <w:szCs w:val="20"/>
          <w:lang w:val="pl-PL"/>
        </w:rPr>
        <w:t>systemów</w:t>
      </w:r>
      <w:r w:rsidRPr="00A23299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A23299">
        <w:rPr>
          <w:rFonts w:ascii="Calibri" w:eastAsia="Calibri" w:hAnsi="Calibri" w:cs="Calibri"/>
          <w:i/>
          <w:color w:val="231F20"/>
          <w:sz w:val="20"/>
          <w:szCs w:val="20"/>
          <w:lang w:val="pl-PL"/>
        </w:rPr>
        <w:t>common</w:t>
      </w:r>
      <w:proofErr w:type="spellEnd"/>
      <w:r w:rsidRPr="00A23299">
        <w:rPr>
          <w:rFonts w:ascii="Calibri" w:eastAsia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A23299">
        <w:rPr>
          <w:rFonts w:ascii="Calibri" w:eastAsia="Calibri" w:hAnsi="Calibri" w:cs="Calibri"/>
          <w:i/>
          <w:color w:val="231F20"/>
          <w:sz w:val="20"/>
          <w:szCs w:val="20"/>
          <w:lang w:val="pl-PL"/>
        </w:rPr>
        <w:t>law</w:t>
      </w:r>
      <w:r w:rsidRPr="00A23299">
        <w:rPr>
          <w:rFonts w:ascii="Calibri" w:eastAsia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A23299">
        <w:rPr>
          <w:rFonts w:ascii="Calibri" w:eastAsia="Calibri" w:hAnsi="Calibri" w:cs="Calibri"/>
          <w:color w:val="231F20"/>
          <w:sz w:val="20"/>
          <w:szCs w:val="20"/>
          <w:lang w:val="pl-PL"/>
        </w:rPr>
        <w:t>i</w:t>
      </w:r>
      <w:r w:rsidRPr="00A23299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A23299">
        <w:rPr>
          <w:rFonts w:ascii="Calibri" w:eastAsia="Calibri" w:hAnsi="Calibri" w:cs="Calibri"/>
          <w:color w:val="231F20"/>
          <w:sz w:val="20"/>
          <w:szCs w:val="20"/>
          <w:lang w:val="pl-PL"/>
        </w:rPr>
        <w:t>kontynentalnego</w:t>
      </w:r>
      <w:r w:rsidRPr="00A23299">
        <w:rPr>
          <w:rFonts w:ascii="Calibri" w:eastAsia="Calibri" w:hAnsi="Calibri" w:cs="Calibri"/>
          <w:color w:val="231F20"/>
          <w:sz w:val="20"/>
          <w:szCs w:val="20"/>
          <w:lang w:val="pl-PL"/>
        </w:rPr>
        <w:tab/>
      </w:r>
      <w:r w:rsidRPr="00A23299">
        <w:rPr>
          <w:rFonts w:ascii="Calibri" w:eastAsia="Calibri" w:hAnsi="Calibri" w:cs="Calibri"/>
          <w:color w:val="231F20"/>
          <w:sz w:val="20"/>
          <w:szCs w:val="20"/>
          <w:lang w:val="pl-PL"/>
        </w:rPr>
        <w:t>81</w:t>
      </w:r>
    </w:p>
    <w:p w:rsidR="00FF0480" w:rsidRPr="00080E3A" w:rsidRDefault="00A23299" w:rsidP="00A23299">
      <w:pPr>
        <w:numPr>
          <w:ilvl w:val="1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Inwestor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zy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instytucjonalni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kodeksy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dobrych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pr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aktyk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84</w:t>
      </w:r>
    </w:p>
    <w:p w:rsidR="00FF0480" w:rsidRPr="00080E3A" w:rsidRDefault="00A23299" w:rsidP="00A23299">
      <w:pPr>
        <w:numPr>
          <w:ilvl w:val="2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Zasady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nadz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oru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k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orpor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ac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yjne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g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OECD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ab/>
        <w:t>85</w:t>
      </w:r>
    </w:p>
    <w:p w:rsidR="00FF0480" w:rsidRPr="00080E3A" w:rsidRDefault="00A23299" w:rsidP="00A23299">
      <w:pPr>
        <w:numPr>
          <w:ilvl w:val="2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Kodeks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i/>
          <w:color w:val="231F20"/>
          <w:sz w:val="20"/>
          <w:szCs w:val="20"/>
          <w:lang w:val="pl-PL"/>
        </w:rPr>
        <w:t>International</w:t>
      </w:r>
      <w:r w:rsidRPr="00080E3A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proofErr w:type="spellStart"/>
      <w:r w:rsidRPr="00080E3A">
        <w:rPr>
          <w:rFonts w:ascii="Calibri" w:hAnsi="Calibri" w:cs="Calibri"/>
          <w:i/>
          <w:color w:val="231F20"/>
          <w:sz w:val="20"/>
          <w:szCs w:val="20"/>
          <w:lang w:val="pl-PL"/>
        </w:rPr>
        <w:t>Corporate</w:t>
      </w:r>
      <w:proofErr w:type="spellEnd"/>
      <w:r w:rsidRPr="00080E3A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proofErr w:type="spellStart"/>
      <w:r w:rsidRPr="00080E3A">
        <w:rPr>
          <w:rFonts w:ascii="Calibri" w:hAnsi="Calibri" w:cs="Calibri"/>
          <w:i/>
          <w:color w:val="231F20"/>
          <w:sz w:val="20"/>
          <w:szCs w:val="20"/>
          <w:lang w:val="pl-PL"/>
        </w:rPr>
        <w:t>Go</w:t>
      </w:r>
      <w:r w:rsidRPr="00080E3A">
        <w:rPr>
          <w:rFonts w:ascii="Calibri" w:hAnsi="Calibri" w:cs="Calibri"/>
          <w:i/>
          <w:color w:val="231F20"/>
          <w:sz w:val="20"/>
          <w:szCs w:val="20"/>
          <w:lang w:val="pl-PL"/>
        </w:rPr>
        <w:t>vernance</w:t>
      </w:r>
      <w:proofErr w:type="spellEnd"/>
      <w:r w:rsidRPr="00080E3A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i/>
          <w:color w:val="231F20"/>
          <w:sz w:val="20"/>
          <w:szCs w:val="20"/>
          <w:lang w:val="pl-PL"/>
        </w:rPr>
        <w:t>Ne</w:t>
      </w:r>
      <w:r w:rsidRPr="00080E3A">
        <w:rPr>
          <w:rFonts w:ascii="Calibri" w:hAnsi="Calibri" w:cs="Calibri"/>
          <w:i/>
          <w:color w:val="231F20"/>
          <w:sz w:val="20"/>
          <w:szCs w:val="20"/>
          <w:lang w:val="pl-PL"/>
        </w:rPr>
        <w:t>twork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91</w:t>
      </w:r>
    </w:p>
    <w:p w:rsidR="00FF0480" w:rsidRPr="00080E3A" w:rsidRDefault="00A23299" w:rsidP="00A23299">
      <w:pPr>
        <w:numPr>
          <w:ilvl w:val="2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proofErr w:type="spellStart"/>
      <w:r w:rsidRPr="00080E3A">
        <w:rPr>
          <w:rFonts w:ascii="Calibri" w:hAnsi="Calibri" w:cs="Calibri"/>
          <w:i/>
          <w:color w:val="231F20"/>
          <w:sz w:val="20"/>
          <w:szCs w:val="20"/>
          <w:lang w:val="pl-PL"/>
        </w:rPr>
        <w:t>Code</w:t>
      </w:r>
      <w:proofErr w:type="spellEnd"/>
      <w:r w:rsidRPr="00080E3A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i/>
          <w:color w:val="231F20"/>
          <w:sz w:val="20"/>
          <w:szCs w:val="20"/>
          <w:lang w:val="pl-PL"/>
        </w:rPr>
        <w:t>on the</w:t>
      </w:r>
      <w:r w:rsidRPr="00080E3A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proofErr w:type="spellStart"/>
      <w:r w:rsidRPr="00080E3A">
        <w:rPr>
          <w:rFonts w:ascii="Calibri" w:hAnsi="Calibri" w:cs="Calibri"/>
          <w:i/>
          <w:color w:val="231F20"/>
          <w:sz w:val="20"/>
          <w:szCs w:val="20"/>
          <w:lang w:val="pl-PL"/>
        </w:rPr>
        <w:t>Responsibilities</w:t>
      </w:r>
      <w:proofErr w:type="spellEnd"/>
      <w:r w:rsidRPr="00080E3A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of</w:t>
      </w:r>
      <w:r w:rsidRPr="00080E3A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proofErr w:type="spellStart"/>
      <w:r w:rsidRPr="00080E3A">
        <w:rPr>
          <w:rFonts w:ascii="Calibri" w:hAnsi="Calibri" w:cs="Calibri"/>
          <w:i/>
          <w:color w:val="231F20"/>
          <w:sz w:val="20"/>
          <w:szCs w:val="20"/>
          <w:lang w:val="pl-PL"/>
        </w:rPr>
        <w:t>Institutional</w:t>
      </w:r>
      <w:proofErr w:type="spellEnd"/>
      <w:r w:rsidRPr="00080E3A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proofErr w:type="spellStart"/>
      <w:r w:rsidRPr="00080E3A">
        <w:rPr>
          <w:rFonts w:ascii="Calibri" w:hAnsi="Calibri" w:cs="Calibri"/>
          <w:i/>
          <w:color w:val="231F20"/>
          <w:sz w:val="20"/>
          <w:szCs w:val="20"/>
          <w:lang w:val="pl-PL"/>
        </w:rPr>
        <w:t>Investors</w:t>
      </w:r>
      <w:proofErr w:type="spellEnd"/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92</w:t>
      </w:r>
    </w:p>
    <w:p w:rsidR="00FF0480" w:rsidRPr="00080E3A" w:rsidRDefault="00A23299" w:rsidP="00A23299">
      <w:pPr>
        <w:numPr>
          <w:ilvl w:val="2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i/>
          <w:color w:val="231F20"/>
          <w:sz w:val="20"/>
          <w:szCs w:val="20"/>
          <w:lang w:val="pl-PL"/>
        </w:rPr>
        <w:t>UK</w:t>
      </w:r>
      <w:r w:rsidRPr="00080E3A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proofErr w:type="spellStart"/>
      <w:r w:rsidRPr="00080E3A">
        <w:rPr>
          <w:rFonts w:ascii="Calibri" w:hAnsi="Calibri" w:cs="Calibri"/>
          <w:i/>
          <w:color w:val="231F20"/>
          <w:sz w:val="20"/>
          <w:szCs w:val="20"/>
          <w:lang w:val="pl-PL"/>
        </w:rPr>
        <w:t>Stewardship</w:t>
      </w:r>
      <w:proofErr w:type="spellEnd"/>
      <w:r w:rsidRPr="00080E3A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proofErr w:type="spellStart"/>
      <w:r w:rsidRPr="00080E3A">
        <w:rPr>
          <w:rFonts w:ascii="Calibri" w:hAnsi="Calibri" w:cs="Calibri"/>
          <w:i/>
          <w:color w:val="231F20"/>
          <w:sz w:val="20"/>
          <w:szCs w:val="20"/>
          <w:lang w:val="pl-PL"/>
        </w:rPr>
        <w:t>Code</w:t>
      </w:r>
      <w:proofErr w:type="spellEnd"/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ab/>
        <w:t>96</w:t>
      </w:r>
    </w:p>
    <w:p w:rsidR="00FF0480" w:rsidRPr="00080E3A" w:rsidRDefault="00A23299" w:rsidP="00A23299">
      <w:pPr>
        <w:numPr>
          <w:ilvl w:val="2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Ewolucja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kwestii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inwestorów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instytucjonalnych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re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gulacjach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środowisk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owy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ch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98</w:t>
      </w:r>
    </w:p>
    <w:p w:rsidR="00FF0480" w:rsidRPr="00A23299" w:rsidRDefault="00A23299" w:rsidP="00A23299">
      <w:pPr>
        <w:numPr>
          <w:ilvl w:val="1"/>
          <w:numId w:val="2"/>
        </w:numPr>
        <w:ind w:left="423"/>
        <w:rPr>
          <w:rFonts w:ascii="Calibri" w:eastAsia="Calibri" w:hAnsi="Calibri" w:cs="Calibri"/>
          <w:sz w:val="20"/>
          <w:szCs w:val="20"/>
          <w:lang w:val="pl-PL"/>
        </w:rPr>
      </w:pP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Nadz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ór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k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orpor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acyjny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inwestorów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instytucjonalnych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nad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spółkami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publicznymi</w:t>
      </w:r>
      <w:r w:rsidRPr="00A23299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A23299">
        <w:rPr>
          <w:rFonts w:ascii="Calibri" w:eastAsia="Calibri" w:hAnsi="Calibri" w:cs="Calibri"/>
          <w:color w:val="231F20"/>
          <w:sz w:val="20"/>
          <w:szCs w:val="20"/>
          <w:lang w:val="pl-PL"/>
        </w:rPr>
        <w:t>–</w:t>
      </w:r>
      <w:r w:rsidRPr="00A23299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A23299">
        <w:rPr>
          <w:rFonts w:ascii="Calibri" w:eastAsia="Calibri" w:hAnsi="Calibri" w:cs="Calibri"/>
          <w:color w:val="231F20"/>
          <w:sz w:val="20"/>
          <w:szCs w:val="20"/>
          <w:lang w:val="pl-PL"/>
        </w:rPr>
        <w:t>regulacje</w:t>
      </w:r>
      <w:r w:rsidRPr="00A23299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A23299">
        <w:rPr>
          <w:rFonts w:ascii="Calibri" w:eastAsia="Calibri" w:hAnsi="Calibri" w:cs="Calibri"/>
          <w:color w:val="231F20"/>
          <w:sz w:val="20"/>
          <w:szCs w:val="20"/>
          <w:lang w:val="pl-PL"/>
        </w:rPr>
        <w:t>unijne</w:t>
      </w:r>
      <w:r w:rsidRPr="00A23299">
        <w:rPr>
          <w:rFonts w:ascii="Calibri" w:eastAsia="Calibri" w:hAnsi="Calibri" w:cs="Calibri"/>
          <w:color w:val="231F20"/>
          <w:sz w:val="20"/>
          <w:szCs w:val="20"/>
          <w:lang w:val="pl-PL"/>
        </w:rPr>
        <w:tab/>
        <w:t>101</w:t>
      </w:r>
    </w:p>
    <w:p w:rsidR="00FF0480" w:rsidRPr="00080E3A" w:rsidRDefault="00A23299" w:rsidP="00A23299">
      <w:pPr>
        <w:numPr>
          <w:ilvl w:val="1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lastRenderedPageBreak/>
        <w:t>Polskie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r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amy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pr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awne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ładu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k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orpor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ac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yjne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g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104</w:t>
      </w:r>
    </w:p>
    <w:p w:rsidR="00FF0480" w:rsidRPr="00080E3A" w:rsidRDefault="00A23299" w:rsidP="00A23299">
      <w:pPr>
        <w:numPr>
          <w:ilvl w:val="2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Prawo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spółek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ab/>
        <w:t>104</w:t>
      </w:r>
    </w:p>
    <w:p w:rsidR="00FF0480" w:rsidRPr="00080E3A" w:rsidRDefault="00A23299" w:rsidP="00A23299">
      <w:pPr>
        <w:numPr>
          <w:ilvl w:val="2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Pr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awo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ofer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cie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publicznej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obrocie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instrumentami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finanso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wymi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108</w:t>
      </w:r>
    </w:p>
    <w:p w:rsidR="00FF0480" w:rsidRPr="00080E3A" w:rsidRDefault="00A23299" w:rsidP="00A23299">
      <w:pPr>
        <w:numPr>
          <w:ilvl w:val="2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Inne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akty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prawne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Polsce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114</w:t>
      </w:r>
    </w:p>
    <w:p w:rsidR="00FF0480" w:rsidRPr="00080E3A" w:rsidRDefault="00A23299" w:rsidP="00A23299">
      <w:pPr>
        <w:numPr>
          <w:ilvl w:val="2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Dobre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Praktyki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Spółek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Notowanych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na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GPW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ab/>
        <w:t>116</w:t>
      </w:r>
    </w:p>
    <w:p w:rsidR="00FF0480" w:rsidRPr="00080E3A" w:rsidRDefault="00A23299" w:rsidP="00A23299">
      <w:pPr>
        <w:numPr>
          <w:ilvl w:val="2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Kodeks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Dobrych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Praktyk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Inwestorów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Instytucjonalnych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118</w:t>
      </w:r>
    </w:p>
    <w:p w:rsidR="00FF0480" w:rsidRPr="00080E3A" w:rsidRDefault="00A23299" w:rsidP="00A23299">
      <w:pPr>
        <w:ind w:left="103"/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Podsumowanie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121</w:t>
      </w:r>
    </w:p>
    <w:p w:rsidR="00A23299" w:rsidRDefault="00A23299" w:rsidP="00A23299">
      <w:pPr>
        <w:ind w:left="103"/>
        <w:rPr>
          <w:rFonts w:ascii="Calibri" w:hAnsi="Calibri" w:cs="Calibri"/>
          <w:color w:val="231F20"/>
          <w:sz w:val="20"/>
          <w:szCs w:val="20"/>
          <w:lang w:val="pl-PL"/>
        </w:rPr>
      </w:pPr>
    </w:p>
    <w:p w:rsidR="00FF0480" w:rsidRPr="00080E3A" w:rsidRDefault="00A23299" w:rsidP="00A23299">
      <w:pPr>
        <w:ind w:left="103"/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Rozdział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4</w:t>
      </w:r>
      <w:r>
        <w:rPr>
          <w:rFonts w:ascii="Calibri" w:eastAsia="Calibri" w:hAnsi="Calibri" w:cs="Calibri"/>
          <w:sz w:val="20"/>
          <w:szCs w:val="20"/>
          <w:lang w:val="pl-PL"/>
        </w:rPr>
        <w:t xml:space="preserve">. 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>Inwestorzy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>instytucjonalni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>w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>procesie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>nadzoru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>korporacyjneg</w:t>
      </w:r>
      <w:r w:rsidRPr="00080E3A">
        <w:rPr>
          <w:rFonts w:ascii="Calibri" w:hAnsi="Calibri" w:cs="Calibri"/>
          <w:b/>
          <w:color w:val="231F20"/>
          <w:sz w:val="20"/>
          <w:szCs w:val="20"/>
          <w:lang w:val="pl-PL"/>
        </w:rPr>
        <w:t>o</w:t>
      </w:r>
      <w:r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080E3A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>na</w:t>
      </w:r>
      <w:r w:rsidRPr="00080E3A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>polskim</w:t>
      </w:r>
      <w:r w:rsidRPr="00080E3A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>rynku</w:t>
      </w:r>
      <w:r w:rsidRPr="00080E3A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>kapitałowym</w:t>
      </w:r>
      <w:r w:rsidRPr="00080E3A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>–</w:t>
      </w:r>
      <w:r w:rsidRPr="00080E3A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>analiza</w:t>
      </w:r>
      <w:r w:rsidRPr="00080E3A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>empiryczna</w:t>
      </w:r>
      <w:r w:rsidRPr="00080E3A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ab/>
      </w:r>
      <w:r w:rsidRPr="00080E3A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>123</w:t>
      </w:r>
    </w:p>
    <w:p w:rsidR="00FF0480" w:rsidRPr="00080E3A" w:rsidRDefault="00A23299" w:rsidP="00A23299">
      <w:pPr>
        <w:numPr>
          <w:ilvl w:val="1"/>
          <w:numId w:val="1"/>
        </w:numPr>
        <w:ind w:hanging="320"/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Met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odyka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badań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opis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próby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badawcz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ej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124</w:t>
      </w:r>
    </w:p>
    <w:p w:rsidR="00FF0480" w:rsidRPr="00080E3A" w:rsidRDefault="00A23299" w:rsidP="00A23299">
      <w:pPr>
        <w:numPr>
          <w:ilvl w:val="1"/>
          <w:numId w:val="1"/>
        </w:numPr>
        <w:ind w:left="408"/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Typ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inwestor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instytucjonalneg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je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g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powiązania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liczbą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udziałami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spółkach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131</w:t>
      </w:r>
    </w:p>
    <w:p w:rsidR="00FF0480" w:rsidRPr="00080E3A" w:rsidRDefault="00A23299" w:rsidP="00A23299">
      <w:pPr>
        <w:numPr>
          <w:ilvl w:val="1"/>
          <w:numId w:val="1"/>
        </w:numPr>
        <w:ind w:right="98" w:hanging="320"/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Typ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pier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wsz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e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g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inwestor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dominując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e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g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ró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żnic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e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średnich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udziałach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inwestorów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instytucjonalnych</w:t>
      </w:r>
      <w:r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134</w:t>
      </w:r>
    </w:p>
    <w:p w:rsidR="00FF0480" w:rsidRPr="00080E3A" w:rsidRDefault="00A23299" w:rsidP="00A23299">
      <w:pPr>
        <w:numPr>
          <w:ilvl w:val="1"/>
          <w:numId w:val="1"/>
        </w:numPr>
        <w:ind w:left="390" w:hanging="287"/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Wpływ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sektora,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k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tórym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działa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spółka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wzrost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udziału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inwestorów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instytucjonalny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ch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148</w:t>
      </w:r>
    </w:p>
    <w:p w:rsidR="00FF0480" w:rsidRPr="00080E3A" w:rsidRDefault="00A23299" w:rsidP="00A23299">
      <w:pPr>
        <w:numPr>
          <w:ilvl w:val="1"/>
          <w:numId w:val="1"/>
        </w:numPr>
        <w:ind w:right="98" w:hanging="320"/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Wpływ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wynik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ów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ekonomicznych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spółek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na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zmianę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wielkości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udziałó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inwestorów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instytucjonalnych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152</w:t>
      </w:r>
    </w:p>
    <w:p w:rsidR="00FF0480" w:rsidRPr="00A23299" w:rsidRDefault="00A23299" w:rsidP="00A23299">
      <w:pPr>
        <w:numPr>
          <w:ilvl w:val="1"/>
          <w:numId w:val="1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Wpływ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wynik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ów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ekonomicznych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spółek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na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zmianę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liczby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inwestorów</w:t>
      </w:r>
      <w:r w:rsidRPr="00A23299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instytucjonalnych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spółkach</w:t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A23299">
        <w:rPr>
          <w:rFonts w:ascii="Calibri" w:hAnsi="Calibri" w:cs="Calibri"/>
          <w:color w:val="231F20"/>
          <w:sz w:val="20"/>
          <w:szCs w:val="20"/>
          <w:lang w:val="pl-PL"/>
        </w:rPr>
        <w:t>158</w:t>
      </w:r>
    </w:p>
    <w:p w:rsidR="00FF0480" w:rsidRPr="00080E3A" w:rsidRDefault="00A23299" w:rsidP="00A23299">
      <w:pPr>
        <w:numPr>
          <w:ilvl w:val="1"/>
          <w:numId w:val="1"/>
        </w:numPr>
        <w:ind w:right="98" w:hanging="320"/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Zależności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pomiędzy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liczbą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podmiot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ów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instytucjonalnych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wart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ością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zmiennych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ekonomicznych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finanso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wy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ch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spółek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160</w:t>
      </w:r>
    </w:p>
    <w:p w:rsidR="00A23299" w:rsidRDefault="00A23299" w:rsidP="00A23299">
      <w:pPr>
        <w:ind w:left="103"/>
        <w:rPr>
          <w:rFonts w:ascii="Calibri" w:hAnsi="Calibri" w:cs="Calibri"/>
          <w:color w:val="231F20"/>
          <w:sz w:val="20"/>
          <w:szCs w:val="20"/>
          <w:lang w:val="pl-PL"/>
        </w:rPr>
      </w:pPr>
    </w:p>
    <w:p w:rsidR="00FF0480" w:rsidRPr="00080E3A" w:rsidRDefault="00A23299" w:rsidP="00A23299">
      <w:pPr>
        <w:ind w:left="103"/>
        <w:rPr>
          <w:rFonts w:ascii="Calibri" w:eastAsia="Calibri" w:hAnsi="Calibri" w:cs="Calibri"/>
          <w:sz w:val="20"/>
          <w:szCs w:val="20"/>
          <w:lang w:val="pl-PL"/>
        </w:rPr>
      </w:pPr>
      <w:bookmarkStart w:id="0" w:name="_GoBack"/>
      <w:bookmarkEnd w:id="0"/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Zakończenie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167</w:t>
      </w:r>
    </w:p>
    <w:p w:rsidR="00FF0480" w:rsidRPr="00080E3A" w:rsidRDefault="00A23299" w:rsidP="00A23299">
      <w:pPr>
        <w:ind w:left="103"/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Streszczenie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175</w:t>
      </w:r>
    </w:p>
    <w:p w:rsidR="00FF0480" w:rsidRPr="00080E3A" w:rsidRDefault="00A23299" w:rsidP="00A23299">
      <w:pPr>
        <w:ind w:left="103"/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Bibliografia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177</w:t>
      </w:r>
    </w:p>
    <w:p w:rsidR="00FF0480" w:rsidRPr="00080E3A" w:rsidRDefault="00A23299" w:rsidP="00A23299">
      <w:pPr>
        <w:ind w:left="103"/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Spis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t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abel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191</w:t>
      </w:r>
    </w:p>
    <w:p w:rsidR="00FF0480" w:rsidRPr="00080E3A" w:rsidRDefault="00A23299" w:rsidP="00A23299">
      <w:pPr>
        <w:ind w:left="103"/>
        <w:rPr>
          <w:rFonts w:ascii="Calibri" w:eastAsia="Calibri" w:hAnsi="Calibri" w:cs="Calibri"/>
          <w:sz w:val="20"/>
          <w:szCs w:val="20"/>
          <w:lang w:val="pl-PL"/>
        </w:rPr>
      </w:pP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Spis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r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ysunk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ów</w:t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080E3A">
        <w:rPr>
          <w:rFonts w:ascii="Calibri" w:hAnsi="Calibri" w:cs="Calibri"/>
          <w:color w:val="231F20"/>
          <w:sz w:val="20"/>
          <w:szCs w:val="20"/>
          <w:lang w:val="pl-PL"/>
        </w:rPr>
        <w:t>193</w:t>
      </w:r>
    </w:p>
    <w:sectPr w:rsidR="00FF0480" w:rsidRPr="00080E3A">
      <w:pgSz w:w="9530" w:h="13610"/>
      <w:pgMar w:top="94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D7498"/>
    <w:multiLevelType w:val="multilevel"/>
    <w:tmpl w:val="81AC3C74"/>
    <w:lvl w:ilvl="0">
      <w:start w:val="1"/>
      <w:numFmt w:val="decimal"/>
      <w:lvlText w:val="%1"/>
      <w:lvlJc w:val="left"/>
      <w:pPr>
        <w:ind w:left="422" w:hanging="30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2" w:hanging="305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decimal"/>
      <w:lvlText w:val="%1.%2.%3."/>
      <w:lvlJc w:val="left"/>
      <w:pPr>
        <w:ind w:left="856" w:hanging="440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3">
      <w:start w:val="1"/>
      <w:numFmt w:val="bullet"/>
      <w:lvlText w:val="•"/>
      <w:lvlJc w:val="left"/>
      <w:pPr>
        <w:ind w:left="2298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19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39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60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1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02" w:hanging="440"/>
      </w:pPr>
      <w:rPr>
        <w:rFonts w:hint="default"/>
      </w:rPr>
    </w:lvl>
  </w:abstractNum>
  <w:abstractNum w:abstractNumId="1">
    <w:nsid w:val="5EB17E98"/>
    <w:multiLevelType w:val="multilevel"/>
    <w:tmpl w:val="9A122214"/>
    <w:lvl w:ilvl="0">
      <w:start w:val="3"/>
      <w:numFmt w:val="decimal"/>
      <w:lvlText w:val="%1"/>
      <w:lvlJc w:val="left"/>
      <w:pPr>
        <w:ind w:left="408" w:hanging="30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305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decimal"/>
      <w:lvlText w:val="%1.%2.%3."/>
      <w:lvlJc w:val="left"/>
      <w:pPr>
        <w:ind w:left="843" w:hanging="440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3">
      <w:start w:val="1"/>
      <w:numFmt w:val="bullet"/>
      <w:lvlText w:val="•"/>
      <w:lvlJc w:val="left"/>
      <w:pPr>
        <w:ind w:left="1761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6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0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5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40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34" w:hanging="440"/>
      </w:pPr>
      <w:rPr>
        <w:rFonts w:hint="default"/>
      </w:rPr>
    </w:lvl>
  </w:abstractNum>
  <w:abstractNum w:abstractNumId="2">
    <w:nsid w:val="64C46E87"/>
    <w:multiLevelType w:val="multilevel"/>
    <w:tmpl w:val="B77EDC70"/>
    <w:lvl w:ilvl="0">
      <w:start w:val="4"/>
      <w:numFmt w:val="decimal"/>
      <w:lvlText w:val="%1"/>
      <w:lvlJc w:val="left"/>
      <w:pPr>
        <w:ind w:left="408" w:hanging="30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3" w:hanging="305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bullet"/>
      <w:lvlText w:val="•"/>
      <w:lvlJc w:val="left"/>
      <w:pPr>
        <w:ind w:left="1190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57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4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90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57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24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90" w:hanging="305"/>
      </w:pPr>
      <w:rPr>
        <w:rFonts w:hint="default"/>
      </w:rPr>
    </w:lvl>
  </w:abstractNum>
  <w:abstractNum w:abstractNumId="3">
    <w:nsid w:val="73445A7D"/>
    <w:multiLevelType w:val="multilevel"/>
    <w:tmpl w:val="67246D40"/>
    <w:lvl w:ilvl="0">
      <w:start w:val="2"/>
      <w:numFmt w:val="decimal"/>
      <w:lvlText w:val="%1"/>
      <w:lvlJc w:val="left"/>
      <w:pPr>
        <w:ind w:left="422" w:hanging="30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2" w:hanging="305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decimal"/>
      <w:lvlText w:val="%1.%2.%3."/>
      <w:lvlJc w:val="left"/>
      <w:pPr>
        <w:ind w:left="856" w:hanging="440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3">
      <w:start w:val="1"/>
      <w:numFmt w:val="bullet"/>
      <w:lvlText w:val="•"/>
      <w:lvlJc w:val="left"/>
      <w:pPr>
        <w:ind w:left="1668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8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9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00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11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22" w:hanging="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F0480"/>
    <w:rsid w:val="00080E3A"/>
    <w:rsid w:val="00A23299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32"/>
      <w:ind w:left="117"/>
    </w:pPr>
    <w:rPr>
      <w:rFonts w:ascii="Calibri" w:eastAsia="Calibri" w:hAnsi="Calibri"/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2020-12-29T08:34:00Z</dcterms:created>
  <dcterms:modified xsi:type="dcterms:W3CDTF">2020-12-29T07:38:00Z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LastSaved">
    <vt:filetime>2020-12-29T00:00:00Z</vt:filetime>
  </property>
</Properties>
</file>