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B" w:rsidRPr="000D24C2" w:rsidRDefault="000D24C2" w:rsidP="000D24C2">
      <w:pPr>
        <w:ind w:left="563"/>
        <w:rPr>
          <w:rFonts w:ascii="Calibri" w:hAnsi="Calibri" w:cs="Calibri"/>
          <w:color w:val="231F20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Wstęp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Monika Marcinkowska, Piotr </w:t>
      </w:r>
      <w:proofErr w:type="spellStart"/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Wdowiński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9</w:t>
      </w:r>
    </w:p>
    <w:p w:rsidR="000D24C2" w:rsidRPr="000D24C2" w:rsidRDefault="000D24C2" w:rsidP="000D24C2">
      <w:pPr>
        <w:ind w:left="563"/>
        <w:rPr>
          <w:rFonts w:ascii="Calibri" w:eastAsia="Calibri" w:hAnsi="Calibri" w:cs="Calibri"/>
          <w:sz w:val="20"/>
          <w:szCs w:val="20"/>
          <w:lang w:val="pl-PL"/>
        </w:rPr>
      </w:pPr>
    </w:p>
    <w:p w:rsidR="0016645B" w:rsidRPr="000D24C2" w:rsidRDefault="000D24C2" w:rsidP="000D24C2">
      <w:pPr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SFORMUŁOWANIE PROBLEMU BADAWCZEGO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STANISŁAW  FLEJTERSKI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PIOTR WDOWIŃSKI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15</w:t>
      </w:r>
    </w:p>
    <w:p w:rsidR="000D24C2" w:rsidRPr="000D24C2" w:rsidRDefault="000D24C2" w:rsidP="000D24C2">
      <w:pPr>
        <w:ind w:left="563"/>
        <w:rPr>
          <w:rFonts w:ascii="Calibri" w:eastAsia="Calibri" w:hAnsi="Calibri" w:cs="Calibri"/>
          <w:sz w:val="20"/>
          <w:szCs w:val="20"/>
          <w:lang w:val="pl-PL"/>
        </w:rPr>
      </w:pPr>
    </w:p>
    <w:p w:rsidR="0016645B" w:rsidRPr="000D24C2" w:rsidRDefault="000D24C2" w:rsidP="000D24C2">
      <w:pPr>
        <w:numPr>
          <w:ilvl w:val="0"/>
          <w:numId w:val="5"/>
        </w:numPr>
        <w:ind w:right="235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REGULACJE SEKTORA BANKOWEGO A WZROST GOSPODARCZY – PODSTAWOWE WSPÓŁZALEŻNOŚCI TEORETYCZNE (</w:t>
      </w:r>
      <w:r w:rsidRPr="000D24C2">
        <w:rPr>
          <w:rFonts w:ascii="Calibri" w:eastAsia="Arial Narrow" w:hAnsi="Calibri" w:cs="Calibri"/>
          <w:bCs/>
          <w:i/>
          <w:color w:val="231F20"/>
          <w:sz w:val="20"/>
          <w:szCs w:val="20"/>
          <w:lang w:val="pl-PL"/>
        </w:rPr>
        <w:t>SŁAWOMIR BUKOWSKI</w:t>
      </w:r>
      <w:r w:rsidRPr="000D24C2">
        <w:rPr>
          <w:rFonts w:ascii="Calibri" w:eastAsia="Calibri" w:hAnsi="Calibri" w:cs="Calibri"/>
          <w:bCs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bCs/>
          <w:color w:val="231F20"/>
          <w:sz w:val="20"/>
          <w:szCs w:val="20"/>
          <w:lang w:val="pl-PL"/>
        </w:rPr>
        <w:tab/>
        <w:t>25</w:t>
      </w:r>
    </w:p>
    <w:p w:rsidR="0016645B" w:rsidRPr="000D24C2" w:rsidRDefault="000D24C2" w:rsidP="000D24C2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0D24C2">
        <w:rPr>
          <w:rFonts w:cs="Calibri"/>
          <w:color w:val="231F20"/>
          <w:sz w:val="20"/>
          <w:szCs w:val="20"/>
          <w:lang w:val="pl-PL"/>
        </w:rPr>
        <w:t>„Płytkie” i „głębokie” determinanty wzrostu gospodarczego</w:t>
      </w:r>
      <w:r w:rsidRPr="000D24C2">
        <w:rPr>
          <w:rFonts w:eastAsia="Times New Roman" w:cs="Calibri"/>
          <w:color w:val="231F20"/>
          <w:sz w:val="20"/>
          <w:szCs w:val="20"/>
          <w:lang w:val="pl-PL"/>
        </w:rPr>
        <w:tab/>
      </w:r>
      <w:r w:rsidRPr="000D24C2">
        <w:rPr>
          <w:rFonts w:cs="Calibri"/>
          <w:color w:val="231F20"/>
          <w:sz w:val="20"/>
          <w:szCs w:val="20"/>
          <w:lang w:val="pl-PL"/>
        </w:rPr>
        <w:t>25</w:t>
      </w:r>
    </w:p>
    <w:p w:rsidR="0016645B" w:rsidRPr="000D24C2" w:rsidRDefault="000D24C2" w:rsidP="000D24C2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0D24C2">
        <w:rPr>
          <w:rFonts w:cs="Calibri"/>
          <w:color w:val="231F20"/>
          <w:sz w:val="20"/>
          <w:szCs w:val="20"/>
          <w:lang w:val="pl-PL"/>
        </w:rPr>
        <w:t>Rozwój finansowy a wzrost gospodarczy</w:t>
      </w:r>
      <w:r w:rsidRPr="000D24C2">
        <w:rPr>
          <w:rFonts w:cs="Calibri"/>
          <w:color w:val="231F20"/>
          <w:sz w:val="20"/>
          <w:szCs w:val="20"/>
          <w:lang w:val="pl-PL"/>
        </w:rPr>
        <w:tab/>
        <w:t>26</w:t>
      </w:r>
    </w:p>
    <w:p w:rsidR="0016645B" w:rsidRPr="000D24C2" w:rsidRDefault="000D24C2" w:rsidP="000D24C2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0D24C2">
        <w:rPr>
          <w:rFonts w:cs="Calibri"/>
          <w:color w:val="231F20"/>
          <w:sz w:val="20"/>
          <w:szCs w:val="20"/>
          <w:lang w:val="pl-PL"/>
        </w:rPr>
        <w:t>Rozwój i funkcjonowanie sektora bankowego jako instytucjonalnej determinanty rozwoju finansowego i wzrostu gospodarczego</w:t>
      </w:r>
      <w:r w:rsidRPr="000D24C2">
        <w:rPr>
          <w:rFonts w:cs="Calibri"/>
          <w:color w:val="231F20"/>
          <w:sz w:val="20"/>
          <w:szCs w:val="20"/>
          <w:lang w:val="pl-PL"/>
        </w:rPr>
        <w:tab/>
        <w:t>29</w:t>
      </w:r>
    </w:p>
    <w:p w:rsidR="0016645B" w:rsidRPr="000D24C2" w:rsidRDefault="000D24C2" w:rsidP="000D24C2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0D24C2">
        <w:rPr>
          <w:rFonts w:cs="Calibri"/>
          <w:color w:val="231F20"/>
          <w:sz w:val="20"/>
          <w:szCs w:val="20"/>
          <w:lang w:val="pl-PL"/>
        </w:rPr>
        <w:t>Regulacje sektora bankowego i instrumenty regulacyjne</w:t>
      </w:r>
      <w:r w:rsidRPr="000D24C2">
        <w:rPr>
          <w:rFonts w:cs="Calibri"/>
          <w:color w:val="231F20"/>
          <w:sz w:val="20"/>
          <w:szCs w:val="20"/>
          <w:lang w:val="pl-PL"/>
        </w:rPr>
        <w:tab/>
        <w:t>34</w:t>
      </w:r>
    </w:p>
    <w:p w:rsidR="0016645B" w:rsidRPr="000D24C2" w:rsidRDefault="000D24C2" w:rsidP="000D24C2">
      <w:pPr>
        <w:pStyle w:val="Tekstpodstawowy"/>
        <w:numPr>
          <w:ilvl w:val="1"/>
          <w:numId w:val="5"/>
        </w:numPr>
        <w:spacing w:before="0"/>
        <w:ind w:right="777"/>
        <w:rPr>
          <w:rFonts w:cs="Calibri"/>
          <w:sz w:val="20"/>
          <w:szCs w:val="20"/>
          <w:lang w:val="pl-PL"/>
        </w:rPr>
      </w:pPr>
      <w:r w:rsidRPr="000D24C2">
        <w:rPr>
          <w:rFonts w:cs="Calibri"/>
          <w:color w:val="231F20"/>
          <w:sz w:val="20"/>
          <w:szCs w:val="20"/>
          <w:lang w:val="pl-PL"/>
        </w:rPr>
        <w:t>Skutki regulacji sektora bankowego dla wzrostu gospodarczego – podstawowe współzależności</w:t>
      </w:r>
      <w:r w:rsidRPr="000D24C2">
        <w:rPr>
          <w:rFonts w:eastAsia="Times New Roman" w:cs="Calibri"/>
          <w:color w:val="231F20"/>
          <w:sz w:val="20"/>
          <w:szCs w:val="20"/>
          <w:lang w:val="pl-PL"/>
        </w:rPr>
        <w:tab/>
      </w:r>
      <w:r w:rsidRPr="000D24C2">
        <w:rPr>
          <w:rFonts w:cs="Calibri"/>
          <w:color w:val="231F20"/>
          <w:sz w:val="20"/>
          <w:szCs w:val="20"/>
          <w:lang w:val="pl-PL"/>
        </w:rPr>
        <w:t>37</w:t>
      </w:r>
    </w:p>
    <w:p w:rsidR="000D24C2" w:rsidRPr="000D24C2" w:rsidRDefault="000D24C2" w:rsidP="000D24C2">
      <w:pPr>
        <w:pStyle w:val="Tekstpodstawowy"/>
        <w:spacing w:before="0"/>
        <w:ind w:left="563" w:right="777"/>
        <w:rPr>
          <w:rFonts w:cs="Calibri"/>
          <w:sz w:val="20"/>
          <w:szCs w:val="20"/>
          <w:lang w:val="pl-PL"/>
        </w:rPr>
      </w:pPr>
    </w:p>
    <w:p w:rsidR="0016645B" w:rsidRPr="000D24C2" w:rsidRDefault="000D24C2" w:rsidP="000D24C2">
      <w:pPr>
        <w:numPr>
          <w:ilvl w:val="0"/>
          <w:numId w:val="5"/>
        </w:numPr>
        <w:ind w:left="562" w:right="232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BAZYLEA III I PAKIET CRD IV/CRR – CHARAKTERYSTYKA WYMOGÓW KAPITAŁOWYCH I PŁYNNOŚCIOWYCH</w:t>
      </w:r>
      <w:r w:rsidRPr="000D24C2">
        <w:rPr>
          <w:rFonts w:ascii="Calibri" w:eastAsia="Calibri" w:hAnsi="Calibri" w:cs="Calibri"/>
          <w:bCs/>
          <w:color w:val="231F20"/>
          <w:sz w:val="20"/>
          <w:szCs w:val="20"/>
          <w:lang w:val="pl-PL"/>
        </w:rPr>
        <w:tab/>
        <w:t>41</w:t>
      </w:r>
    </w:p>
    <w:p w:rsidR="0016645B" w:rsidRPr="000D24C2" w:rsidRDefault="000D24C2" w:rsidP="000D24C2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Rys historyczny bazylejskich standardów kapitałowych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43</w:t>
      </w:r>
    </w:p>
    <w:p w:rsidR="0016645B" w:rsidRPr="000D24C2" w:rsidRDefault="000D24C2" w:rsidP="000D24C2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Charakterystyka regulacji kapitałowych 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47</w:t>
      </w:r>
    </w:p>
    <w:p w:rsidR="0016645B" w:rsidRPr="000D24C2" w:rsidRDefault="000D24C2" w:rsidP="000D24C2">
      <w:pPr>
        <w:pStyle w:val="Tekstpodstawowy"/>
        <w:numPr>
          <w:ilvl w:val="2"/>
          <w:numId w:val="5"/>
        </w:numPr>
        <w:spacing w:before="0"/>
        <w:ind w:hanging="452"/>
        <w:rPr>
          <w:rFonts w:cs="Calibri"/>
          <w:sz w:val="20"/>
          <w:szCs w:val="20"/>
        </w:rPr>
      </w:pPr>
      <w:proofErr w:type="spellStart"/>
      <w:r w:rsidRPr="000D24C2">
        <w:rPr>
          <w:rFonts w:cs="Calibri"/>
          <w:color w:val="231F20"/>
          <w:sz w:val="20"/>
          <w:szCs w:val="20"/>
        </w:rPr>
        <w:t>Współczynnik</w:t>
      </w:r>
      <w:proofErr w:type="spellEnd"/>
      <w:r w:rsidRPr="000D24C2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cs="Calibri"/>
          <w:color w:val="231F20"/>
          <w:sz w:val="20"/>
          <w:szCs w:val="20"/>
        </w:rPr>
        <w:t>wypłacalności</w:t>
      </w:r>
      <w:proofErr w:type="spellEnd"/>
      <w:r w:rsidRPr="000D24C2">
        <w:rPr>
          <w:rFonts w:cs="Calibri"/>
          <w:color w:val="231F20"/>
          <w:sz w:val="20"/>
          <w:szCs w:val="20"/>
        </w:rPr>
        <w:tab/>
        <w:t>47</w:t>
      </w:r>
    </w:p>
    <w:p w:rsidR="0016645B" w:rsidRPr="000D24C2" w:rsidRDefault="000D24C2" w:rsidP="000D24C2">
      <w:pPr>
        <w:pStyle w:val="Tekstpodstawowy"/>
        <w:numPr>
          <w:ilvl w:val="2"/>
          <w:numId w:val="5"/>
        </w:numPr>
        <w:spacing w:before="0"/>
        <w:ind w:left="1022" w:hanging="459"/>
        <w:rPr>
          <w:rFonts w:cs="Calibri"/>
          <w:sz w:val="20"/>
          <w:szCs w:val="20"/>
        </w:rPr>
      </w:pPr>
      <w:proofErr w:type="spellStart"/>
      <w:r w:rsidRPr="000D24C2">
        <w:rPr>
          <w:rFonts w:cs="Calibri"/>
          <w:color w:val="231F20"/>
          <w:sz w:val="20"/>
          <w:szCs w:val="20"/>
        </w:rPr>
        <w:t>Bufory</w:t>
      </w:r>
      <w:proofErr w:type="spellEnd"/>
      <w:r w:rsidRPr="000D24C2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cs="Calibri"/>
          <w:color w:val="231F20"/>
          <w:sz w:val="20"/>
          <w:szCs w:val="20"/>
        </w:rPr>
        <w:t>kapitałowe</w:t>
      </w:r>
      <w:proofErr w:type="spellEnd"/>
      <w:r w:rsidRPr="000D24C2">
        <w:rPr>
          <w:rFonts w:cs="Calibri"/>
          <w:color w:val="231F20"/>
          <w:sz w:val="20"/>
          <w:szCs w:val="20"/>
        </w:rPr>
        <w:tab/>
        <w:t>66</w:t>
      </w:r>
    </w:p>
    <w:p w:rsidR="0016645B" w:rsidRPr="000D24C2" w:rsidRDefault="000D24C2" w:rsidP="000D24C2">
      <w:pPr>
        <w:pStyle w:val="Tekstpodstawowy"/>
        <w:numPr>
          <w:ilvl w:val="2"/>
          <w:numId w:val="5"/>
        </w:numPr>
        <w:spacing w:before="0"/>
        <w:ind w:left="1022" w:hanging="459"/>
        <w:rPr>
          <w:rFonts w:cs="Calibri"/>
          <w:sz w:val="20"/>
          <w:szCs w:val="20"/>
        </w:rPr>
      </w:pPr>
      <w:proofErr w:type="spellStart"/>
      <w:r w:rsidRPr="000D24C2">
        <w:rPr>
          <w:rFonts w:cs="Calibri"/>
          <w:color w:val="231F20"/>
          <w:sz w:val="20"/>
          <w:szCs w:val="20"/>
        </w:rPr>
        <w:t>Wskaźnik</w:t>
      </w:r>
      <w:proofErr w:type="spellEnd"/>
      <w:r w:rsidRPr="000D24C2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cs="Calibri"/>
          <w:color w:val="231F20"/>
          <w:sz w:val="20"/>
          <w:szCs w:val="20"/>
        </w:rPr>
        <w:t>dźwigni</w:t>
      </w:r>
      <w:proofErr w:type="spellEnd"/>
      <w:r w:rsidRPr="000D24C2">
        <w:rPr>
          <w:rFonts w:cs="Calibri"/>
          <w:color w:val="231F20"/>
          <w:sz w:val="20"/>
          <w:szCs w:val="20"/>
        </w:rPr>
        <w:tab/>
        <w:t>73</w:t>
      </w:r>
    </w:p>
    <w:p w:rsidR="0016645B" w:rsidRPr="000D24C2" w:rsidRDefault="000D24C2" w:rsidP="000D24C2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Charakterystyka wymogów płynnościowych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Mariusz </w:t>
      </w:r>
      <w:proofErr w:type="spellStart"/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Zygierewicz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76</w:t>
      </w:r>
    </w:p>
    <w:p w:rsidR="000D24C2" w:rsidRPr="000D24C2" w:rsidRDefault="000D24C2" w:rsidP="000D24C2">
      <w:pPr>
        <w:ind w:left="563" w:right="776"/>
        <w:rPr>
          <w:rFonts w:ascii="Calibri" w:eastAsia="Trebuchet MS" w:hAnsi="Calibri" w:cs="Calibri"/>
          <w:sz w:val="20"/>
          <w:szCs w:val="20"/>
          <w:lang w:val="pl-PL"/>
        </w:rPr>
      </w:pPr>
    </w:p>
    <w:p w:rsidR="0016645B" w:rsidRPr="000D24C2" w:rsidRDefault="000D24C2" w:rsidP="000D24C2">
      <w:pPr>
        <w:numPr>
          <w:ilvl w:val="0"/>
          <w:numId w:val="4"/>
        </w:numPr>
        <w:ind w:right="377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REGULACJE SEKTORA BANKOWEGO A WZROST GOSPODARCZY – WYNIKI BADAŃ EMPIRYCZNYCH</w:t>
      </w: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ab/>
        <w:t>93</w:t>
      </w:r>
    </w:p>
    <w:p w:rsidR="0016645B" w:rsidRPr="000D24C2" w:rsidRDefault="000D24C2" w:rsidP="000D24C2">
      <w:pPr>
        <w:numPr>
          <w:ilvl w:val="1"/>
          <w:numId w:val="4"/>
        </w:numPr>
        <w:ind w:right="776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Wpływ regulacji kapitałowych i norm płynności na gospodarkę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93</w:t>
      </w: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4.1.1. Wpływ norm kapitałowych na gospodarkę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93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4.1.2. Wpływ norm płynności na gospodarkę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100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4.1.3. Podsumowanie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103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4.2.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bookmarkStart w:id="0" w:name="_GoBack"/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Bazylea III </w:t>
      </w:r>
      <w:bookmarkEnd w:id="0"/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– przegląd wyników badań (</w:t>
      </w:r>
      <w:r w:rsidRPr="000D24C2">
        <w:rPr>
          <w:rFonts w:ascii="Calibri" w:eastAsia="Trebuchet MS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104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4.2.1. Wpływ Bazylei III i CRD IV/CRR na banki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104</w:t>
      </w:r>
    </w:p>
    <w:p w:rsidR="000D24C2" w:rsidRPr="000D24C2" w:rsidRDefault="000D24C2" w:rsidP="000D24C2">
      <w:pPr>
        <w:pStyle w:val="TableParagraph"/>
        <w:ind w:left="8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4.2.2. Wpływ Bazylei III i CRD IV/CRR na gospodarkę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111</w:t>
      </w:r>
    </w:p>
    <w:p w:rsidR="000D24C2" w:rsidRPr="000D24C2" w:rsidRDefault="000D24C2" w:rsidP="000D24C2">
      <w:pPr>
        <w:pStyle w:val="TableParagraph"/>
        <w:ind w:left="12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4.3. Podsumowanie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Sławomir Bukowski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Mariusz </w:t>
      </w:r>
      <w:proofErr w:type="spellStart"/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Zygierewicz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117</w:t>
      </w:r>
    </w:p>
    <w:p w:rsidR="000D24C2" w:rsidRPr="000D24C2" w:rsidRDefault="000D24C2" w:rsidP="000D24C2">
      <w:pPr>
        <w:pStyle w:val="TableParagraph"/>
        <w:rPr>
          <w:rFonts w:ascii="Calibri" w:hAnsi="Calibri" w:cs="Calibri"/>
          <w:sz w:val="20"/>
          <w:szCs w:val="20"/>
          <w:lang w:val="pl-PL"/>
        </w:rPr>
      </w:pP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BAZYLEA III A SEKTOR BANKOWY W POLSCE – POTENCJALNE SCENARIUSZE REAKCJI BANKÓW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123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</w:rPr>
      </w:pPr>
      <w:r w:rsidRPr="000D24C2">
        <w:rPr>
          <w:rFonts w:ascii="Calibri" w:hAnsi="Calibri" w:cs="Calibri"/>
          <w:color w:val="231F20"/>
          <w:sz w:val="20"/>
          <w:szCs w:val="20"/>
        </w:rPr>
        <w:t>5.1.</w:t>
      </w:r>
      <w:r w:rsidRPr="000D24C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</w:rPr>
        <w:t>Wymogi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</w:rPr>
        <w:t>kapitałowe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 xml:space="preserve"> (</w:t>
      </w:r>
      <w:r w:rsidRPr="000D24C2">
        <w:rPr>
          <w:rFonts w:ascii="Calibri" w:hAnsi="Calibri" w:cs="Calibri"/>
          <w:i/>
          <w:color w:val="231F20"/>
          <w:sz w:val="20"/>
          <w:szCs w:val="20"/>
        </w:rPr>
        <w:t xml:space="preserve">Monika </w:t>
      </w:r>
      <w:proofErr w:type="spellStart"/>
      <w:r w:rsidRPr="000D24C2">
        <w:rPr>
          <w:rFonts w:ascii="Calibri" w:hAnsi="Calibri" w:cs="Calibri"/>
          <w:i/>
          <w:color w:val="231F20"/>
          <w:sz w:val="20"/>
          <w:szCs w:val="20"/>
        </w:rPr>
        <w:t>Marcinkowska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>)</w:t>
      </w:r>
      <w:r w:rsidRPr="000D24C2">
        <w:rPr>
          <w:rFonts w:ascii="Calibri" w:eastAsia="Calibri" w:hAnsi="Calibri" w:cs="Calibri"/>
          <w:sz w:val="20"/>
          <w:szCs w:val="20"/>
        </w:rPr>
        <w:tab/>
      </w:r>
      <w:r w:rsidRPr="000D24C2">
        <w:rPr>
          <w:rFonts w:ascii="Calibri" w:hAnsi="Calibri" w:cs="Calibri"/>
          <w:color w:val="231F20"/>
          <w:sz w:val="20"/>
          <w:szCs w:val="20"/>
        </w:rPr>
        <w:t>124</w:t>
      </w:r>
    </w:p>
    <w:p w:rsidR="000D24C2" w:rsidRPr="000D24C2" w:rsidRDefault="000D24C2" w:rsidP="000D24C2">
      <w:pPr>
        <w:pStyle w:val="Akapitzlist"/>
        <w:numPr>
          <w:ilvl w:val="2"/>
          <w:numId w:val="3"/>
        </w:numPr>
        <w:ind w:firstLine="0"/>
        <w:rPr>
          <w:rFonts w:ascii="Calibri" w:eastAsia="Calibri" w:hAnsi="Calibri" w:cs="Calibri"/>
          <w:sz w:val="20"/>
          <w:szCs w:val="20"/>
        </w:rPr>
      </w:pPr>
      <w:proofErr w:type="spellStart"/>
      <w:r w:rsidRPr="000D24C2">
        <w:rPr>
          <w:rFonts w:ascii="Calibri" w:hAnsi="Calibri" w:cs="Calibri"/>
          <w:color w:val="231F20"/>
          <w:sz w:val="20"/>
          <w:szCs w:val="20"/>
        </w:rPr>
        <w:t>Zwiększenie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</w:rPr>
        <w:t>funduszy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</w:rPr>
        <w:t>własnych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</w:rPr>
        <w:tab/>
        <w:t>125</w:t>
      </w:r>
    </w:p>
    <w:p w:rsidR="000D24C2" w:rsidRPr="000D24C2" w:rsidRDefault="000D24C2" w:rsidP="000D24C2">
      <w:pPr>
        <w:pStyle w:val="Akapitzlist"/>
        <w:numPr>
          <w:ilvl w:val="2"/>
          <w:numId w:val="3"/>
        </w:numPr>
        <w:ind w:firstLine="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Zmniejszenie wymogów kapitałowych na pokrycie ryzyka (aktywów ważonych ryzykiem)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133</w:t>
      </w: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5.1.3.Empiryczne dowody realizacji scenariuszy dostosowywania się banków do nowych regulacji kapitałowych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140</w:t>
      </w:r>
    </w:p>
    <w:p w:rsidR="000D24C2" w:rsidRPr="000D24C2" w:rsidRDefault="000D24C2" w:rsidP="000D24C2">
      <w:pPr>
        <w:pStyle w:val="TableParagraph"/>
        <w:ind w:left="8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5.2.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Wymogi płynnościowe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Mariusz </w:t>
      </w:r>
      <w:proofErr w:type="spellStart"/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Zygierewicz</w:t>
      </w:r>
      <w:proofErr w:type="spellEnd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150</w:t>
      </w:r>
    </w:p>
    <w:p w:rsidR="000D24C2" w:rsidRPr="000D24C2" w:rsidRDefault="000D24C2" w:rsidP="000D24C2">
      <w:pPr>
        <w:pStyle w:val="TableParagraph"/>
        <w:ind w:left="111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5.2.1.Kanały transmisji szoków płynnościowych oraz potencjalne scenariusze reakcji banków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150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5.2.2. Wymóg zarządzania płynnością na poziomie jednostkowym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153</w:t>
      </w:r>
    </w:p>
    <w:p w:rsidR="000D24C2" w:rsidRPr="000D24C2" w:rsidRDefault="000D24C2" w:rsidP="000D24C2">
      <w:pPr>
        <w:pStyle w:val="Akapitzlist"/>
        <w:numPr>
          <w:ilvl w:val="2"/>
          <w:numId w:val="2"/>
        </w:numPr>
        <w:ind w:firstLine="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Wskaźnik LCR – definicja pozycji zaliczonych do środków płynnych </w:t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156</w:t>
      </w:r>
    </w:p>
    <w:p w:rsidR="000D24C2" w:rsidRPr="000D24C2" w:rsidRDefault="000D24C2" w:rsidP="000D24C2">
      <w:pPr>
        <w:pStyle w:val="Akapitzlist"/>
        <w:numPr>
          <w:ilvl w:val="2"/>
          <w:numId w:val="2"/>
        </w:numPr>
        <w:ind w:firstLine="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Wskaźnik LCR – niestabilny charakter depozytów od klientów niedetalicznych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158</w:t>
      </w:r>
    </w:p>
    <w:p w:rsidR="000D24C2" w:rsidRPr="000D24C2" w:rsidRDefault="000D24C2" w:rsidP="000D24C2">
      <w:pPr>
        <w:pStyle w:val="Akapitzlist"/>
        <w:numPr>
          <w:ilvl w:val="2"/>
          <w:numId w:val="1"/>
        </w:numPr>
        <w:ind w:firstLine="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Ograniczone przypływy środków na potrzeby wskaźnika LCR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161</w:t>
      </w:r>
    </w:p>
    <w:p w:rsidR="000D24C2" w:rsidRPr="000D24C2" w:rsidRDefault="000D24C2" w:rsidP="000D24C2">
      <w:pPr>
        <w:pStyle w:val="Akapitzlist"/>
        <w:numPr>
          <w:ilvl w:val="2"/>
          <w:numId w:val="1"/>
        </w:numPr>
        <w:ind w:firstLine="0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Klasyfikowanie lokat banków spółdzielczych w bankach zrzeszających na potrzeby norm płynności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162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lastRenderedPageBreak/>
        <w:t>5.2.7.  Wskaźnik NSFR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165</w:t>
      </w:r>
    </w:p>
    <w:p w:rsidR="000D24C2" w:rsidRPr="000D24C2" w:rsidRDefault="000D24C2" w:rsidP="000D24C2">
      <w:pPr>
        <w:pStyle w:val="TableParagraph"/>
        <w:rPr>
          <w:rFonts w:ascii="Calibri" w:eastAsia="Times New Roman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5.2.8. Terminy wejścia w życie nowych norm płynności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166</w:t>
      </w:r>
    </w:p>
    <w:p w:rsidR="000D24C2" w:rsidRPr="000D24C2" w:rsidRDefault="000D24C2" w:rsidP="000D24C2">
      <w:pPr>
        <w:pStyle w:val="TableParagraph"/>
        <w:ind w:left="8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5.3.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Potencjalne scenariusze reakcji polskich banków – podsumowanie (</w:t>
      </w:r>
      <w:r w:rsidRPr="000D24C2">
        <w:rPr>
          <w:rFonts w:ascii="Calibri" w:eastAsia="Trebuchet MS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168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>5.3.1. Potencjalne działania dostosowawcze banków – synteza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168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5.3.2. Wybór najbardziej prawdopodobnego scenariusza dla Polski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174</w:t>
      </w:r>
    </w:p>
    <w:p w:rsidR="000D24C2" w:rsidRPr="000D24C2" w:rsidRDefault="000D24C2" w:rsidP="000D24C2">
      <w:pPr>
        <w:pStyle w:val="TableParagraph"/>
        <w:rPr>
          <w:rFonts w:ascii="Calibri" w:hAnsi="Calibri" w:cs="Calibri"/>
          <w:sz w:val="20"/>
          <w:szCs w:val="20"/>
          <w:lang w:val="pl-PL"/>
        </w:rPr>
      </w:pP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MAKROEKONOMICZNE SKUTKI REGULACJI KAPITAŁOWYCH I PŁYNNOŚCIOWYCH – WERYFIKACJA EMPIRYCZNA (</w:t>
      </w:r>
      <w:r w:rsidRPr="000D24C2">
        <w:rPr>
          <w:rFonts w:ascii="Calibri" w:eastAsia="Arial Narrow" w:hAnsi="Calibri" w:cs="Calibri"/>
          <w:bCs/>
          <w:i/>
          <w:color w:val="231F20"/>
          <w:sz w:val="20"/>
          <w:szCs w:val="20"/>
          <w:lang w:val="pl-PL"/>
        </w:rPr>
        <w:t>PIOTR WDOWIŃSKI</w:t>
      </w:r>
      <w:r w:rsidRPr="000D24C2">
        <w:rPr>
          <w:rFonts w:ascii="Calibri" w:eastAsia="Calibri" w:hAnsi="Calibri" w:cs="Calibri"/>
          <w:bCs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187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6.1.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Wprowadzenie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187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6.2.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Kanały transmisji regulacji na wzrost gospodarczy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189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6.3.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Model panelowy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192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6.3.1. Dane statystyczne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192</w:t>
      </w:r>
    </w:p>
    <w:p w:rsidR="000D24C2" w:rsidRPr="000D24C2" w:rsidRDefault="000D24C2" w:rsidP="000D24C2">
      <w:pPr>
        <w:pStyle w:val="TableParagraph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6.3.2.  Specyfikacja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197</w:t>
      </w:r>
    </w:p>
    <w:p w:rsidR="000D24C2" w:rsidRPr="000D24C2" w:rsidRDefault="000D24C2" w:rsidP="000D24C2">
      <w:pPr>
        <w:pStyle w:val="TableParagraph"/>
        <w:ind w:left="109"/>
        <w:rPr>
          <w:rFonts w:ascii="Calibri" w:hAnsi="Calibri" w:cs="Calibri"/>
          <w:color w:val="231F20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6.3.3. Estymacja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212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6.4.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Kwartalny model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makroekonometryczny</w:t>
      </w:r>
      <w:proofErr w:type="spellEnd"/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215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6.4.1. Dane statystyczne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220</w:t>
      </w:r>
    </w:p>
    <w:p w:rsidR="000D24C2" w:rsidRPr="006F2CFF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6.4.2.  Specyfikacja</w:t>
      </w:r>
      <w:r w:rsidRPr="006F2CFF">
        <w:rPr>
          <w:rFonts w:ascii="Calibri" w:eastAsia="Calibri" w:hAnsi="Calibri" w:cs="Calibri"/>
          <w:sz w:val="20"/>
          <w:szCs w:val="20"/>
          <w:lang w:val="pl-PL"/>
        </w:rPr>
        <w:tab/>
      </w: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221</w:t>
      </w:r>
    </w:p>
    <w:p w:rsidR="000D24C2" w:rsidRPr="006F2CFF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6.4.3. Estymacja</w:t>
      </w:r>
      <w:r w:rsidRPr="006F2CFF">
        <w:rPr>
          <w:rFonts w:ascii="Calibri" w:eastAsia="Calibri" w:hAnsi="Calibri" w:cs="Calibri"/>
          <w:sz w:val="20"/>
          <w:szCs w:val="20"/>
          <w:lang w:val="pl-PL"/>
        </w:rPr>
        <w:tab/>
      </w: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232</w:t>
      </w:r>
    </w:p>
    <w:p w:rsidR="000D24C2" w:rsidRPr="006F2CFF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6.4.4. Symulacja</w:t>
      </w:r>
      <w:r w:rsidRPr="006F2CFF">
        <w:rPr>
          <w:rFonts w:ascii="Calibri" w:eastAsia="Calibri" w:hAnsi="Calibri" w:cs="Calibri"/>
          <w:sz w:val="20"/>
          <w:szCs w:val="20"/>
          <w:lang w:val="pl-PL"/>
        </w:rPr>
        <w:tab/>
      </w:r>
      <w:r w:rsidRPr="006F2CFF">
        <w:rPr>
          <w:rFonts w:ascii="Calibri" w:hAnsi="Calibri" w:cs="Calibri"/>
          <w:color w:val="231F20"/>
          <w:sz w:val="20"/>
          <w:szCs w:val="20"/>
          <w:lang w:val="pl-PL"/>
        </w:rPr>
        <w:t>245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6.5.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Synteza analiz empirycznych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252</w:t>
      </w:r>
    </w:p>
    <w:p w:rsidR="000D24C2" w:rsidRPr="000D24C2" w:rsidRDefault="000D24C2" w:rsidP="000D24C2">
      <w:pPr>
        <w:pStyle w:val="TableParagraph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eastAsia="Trebuchet MS" w:hAnsi="Calibri" w:cs="Calibri"/>
          <w:bCs/>
          <w:color w:val="231F20"/>
          <w:sz w:val="20"/>
          <w:szCs w:val="20"/>
          <w:lang w:val="pl-PL"/>
        </w:rPr>
        <w:t>POLITYKA OSTROŻNOŚCIOWA REGULACYJNO-NADZORCZA – OCENA KORZYŚCI I KOSZTÓW (</w:t>
      </w:r>
      <w:r w:rsidRPr="000D24C2">
        <w:rPr>
          <w:rFonts w:ascii="Calibri" w:eastAsia="Arial Narrow" w:hAnsi="Calibri" w:cs="Calibri"/>
          <w:bCs/>
          <w:i/>
          <w:color w:val="231F20"/>
          <w:sz w:val="20"/>
          <w:szCs w:val="20"/>
          <w:lang w:val="pl-PL"/>
        </w:rPr>
        <w:t>MARIUSZ ZYGIEREWICZ</w:t>
      </w:r>
      <w:r w:rsidRPr="000D24C2">
        <w:rPr>
          <w:rFonts w:ascii="Calibri" w:eastAsia="Calibri" w:hAnsi="Calibri" w:cs="Calibri"/>
          <w:bCs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255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Wprowadzenie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255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7.2.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Polityka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makroostrożnościowa</w:t>
      </w:r>
      <w:proofErr w:type="spellEnd"/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256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7.3.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System uporządkowanej likwidacji banków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260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7.4.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Unia bankowa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264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7.5.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Dyrektywa w sprawie systemu gwarantowania depozytów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268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7.6.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Raport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Liikanena</w:t>
      </w:r>
      <w:proofErr w:type="spellEnd"/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269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7.7.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Płynność </w:t>
      </w:r>
      <w:proofErr w:type="spellStart"/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śróddzienna</w:t>
      </w:r>
      <w:proofErr w:type="spellEnd"/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271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7.8.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Zmiana ustawy – </w:t>
      </w:r>
      <w:r w:rsidRPr="000D24C2">
        <w:rPr>
          <w:rFonts w:ascii="Calibri" w:eastAsia="Trebuchet MS" w:hAnsi="Calibri" w:cs="Calibri"/>
          <w:i/>
          <w:color w:val="231F20"/>
          <w:sz w:val="20"/>
          <w:szCs w:val="20"/>
          <w:lang w:val="pl-PL"/>
        </w:rPr>
        <w:t>Prawo bankowe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272</w:t>
      </w:r>
    </w:p>
    <w:p w:rsidR="000D24C2" w:rsidRPr="000D24C2" w:rsidRDefault="000D24C2" w:rsidP="000D24C2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7.9.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Projekt ustawy o zmianie ustawy o funkcjonowaniu banków spółdzielczych, ich zrzeszaniu się i bankach zrzeszających oraz ustawy – </w:t>
      </w:r>
      <w:r w:rsidRPr="000D24C2">
        <w:rPr>
          <w:rFonts w:ascii="Calibri" w:eastAsia="Trebuchet MS" w:hAnsi="Calibri" w:cs="Calibri"/>
          <w:i/>
          <w:color w:val="231F20"/>
          <w:sz w:val="20"/>
          <w:szCs w:val="20"/>
          <w:lang w:val="pl-PL"/>
        </w:rPr>
        <w:t>Prawo bankowe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273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7.10.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Zmiany ustaw o Bankowym Funduszu Gwarancyjnym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274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7.11.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Tworzenie odpisów aktualizujących na oczekiwane straty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277</w:t>
      </w:r>
    </w:p>
    <w:p w:rsidR="000D24C2" w:rsidRPr="000D24C2" w:rsidRDefault="000D24C2" w:rsidP="000D24C2">
      <w:pPr>
        <w:pStyle w:val="TableParagraph"/>
        <w:ind w:left="55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7.12. Rekomendacja T dotyczącą dobrych praktyk w zakresie zarządzania ryzykiem detalicznych ekspozycji kredytowych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ab/>
        <w:t>276</w:t>
      </w:r>
    </w:p>
    <w:p w:rsidR="000D24C2" w:rsidRPr="000D24C2" w:rsidRDefault="000D24C2" w:rsidP="000D24C2">
      <w:pPr>
        <w:pStyle w:val="TableParagraph"/>
        <w:ind w:left="49" w:right="80" w:hanging="1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7.13.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Zmiana rekomendacji S dotyczącej dobrych praktyk w zakresie zarządzania ekspozycjami kredytowymi zabezpieczonymi hipotecznie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279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7.14.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Podatek od transakcji finansowych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282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7.15.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Podatek dochodowy od osób prawnych i fizycznych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285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Calibri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7.16.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Podatek od niektórych instytucji finansowych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286</w:t>
      </w:r>
    </w:p>
    <w:p w:rsidR="000D24C2" w:rsidRPr="000D24C2" w:rsidRDefault="000D24C2" w:rsidP="000D24C2">
      <w:pPr>
        <w:pStyle w:val="TableParagraph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0D24C2" w:rsidRPr="000D24C2" w:rsidRDefault="000D24C2" w:rsidP="000D24C2">
      <w:pPr>
        <w:pStyle w:val="TableParagraph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8.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REKOMENDACJE DLA POLITYKI OSTROŻNOŚCIOWEJ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STANISŁAW FLEJTERSKI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PIOTR WDOWIŃSKI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MARIUSZ ZYGIEREWICZ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289</w:t>
      </w:r>
    </w:p>
    <w:p w:rsidR="000D24C2" w:rsidRPr="000D24C2" w:rsidRDefault="000D24C2" w:rsidP="000D24C2">
      <w:pPr>
        <w:pStyle w:val="TableParagraph"/>
        <w:rPr>
          <w:rFonts w:ascii="Calibri" w:hAnsi="Calibri" w:cs="Calibri"/>
          <w:sz w:val="20"/>
          <w:szCs w:val="20"/>
          <w:lang w:val="pl-PL"/>
        </w:rPr>
      </w:pPr>
    </w:p>
    <w:p w:rsidR="000D24C2" w:rsidRPr="000D24C2" w:rsidRDefault="000D24C2" w:rsidP="000D24C2">
      <w:pPr>
        <w:pStyle w:val="TableParagraph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ZAKOŃCZENIE (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MONIKA MARCINKOWSKA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PIOTR WDOWIŃSKI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 xml:space="preserve">, </w:t>
      </w:r>
      <w:r w:rsidRPr="000D24C2">
        <w:rPr>
          <w:rFonts w:ascii="Calibri" w:hAnsi="Calibri" w:cs="Calibri"/>
          <w:i/>
          <w:color w:val="231F20"/>
          <w:sz w:val="20"/>
          <w:szCs w:val="20"/>
          <w:lang w:val="pl-PL"/>
        </w:rPr>
        <w:t>MARIUSZ ZYGIEREWICZ</w:t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)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299</w:t>
      </w:r>
    </w:p>
    <w:p w:rsidR="000D24C2" w:rsidRPr="000D24C2" w:rsidRDefault="000D24C2" w:rsidP="000D24C2">
      <w:pPr>
        <w:pStyle w:val="TableParagraph"/>
        <w:ind w:left="114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BIBLIOGRAFIA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303</w:t>
      </w:r>
    </w:p>
    <w:p w:rsidR="000D24C2" w:rsidRPr="000D24C2" w:rsidRDefault="000D24C2" w:rsidP="000D24C2">
      <w:pPr>
        <w:pStyle w:val="TableParagraph"/>
        <w:ind w:left="114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SPIS TABEL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323</w:t>
      </w:r>
    </w:p>
    <w:p w:rsidR="000D24C2" w:rsidRPr="000D24C2" w:rsidRDefault="000D24C2" w:rsidP="000D24C2">
      <w:pPr>
        <w:pStyle w:val="TableParagraph"/>
        <w:ind w:left="114"/>
        <w:rPr>
          <w:rFonts w:ascii="Calibri" w:eastAsia="Trebuchet MS" w:hAnsi="Calibri" w:cs="Calibri"/>
          <w:sz w:val="20"/>
          <w:szCs w:val="20"/>
          <w:lang w:val="pl-PL"/>
        </w:rPr>
      </w:pP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SPIS RYSUNKÓW</w:t>
      </w:r>
      <w:r w:rsidRPr="000D24C2">
        <w:rPr>
          <w:rFonts w:ascii="Calibri" w:eastAsia="Trebuchet MS" w:hAnsi="Calibri" w:cs="Calibri"/>
          <w:sz w:val="20"/>
          <w:szCs w:val="20"/>
          <w:lang w:val="pl-PL"/>
        </w:rPr>
        <w:tab/>
      </w:r>
      <w:r w:rsidRPr="000D24C2">
        <w:rPr>
          <w:rFonts w:ascii="Calibri" w:hAnsi="Calibri" w:cs="Calibri"/>
          <w:color w:val="231F20"/>
          <w:sz w:val="20"/>
          <w:szCs w:val="20"/>
          <w:lang w:val="pl-PL"/>
        </w:rPr>
        <w:t>325</w:t>
      </w:r>
    </w:p>
    <w:p w:rsidR="000D24C2" w:rsidRPr="000D24C2" w:rsidRDefault="000D24C2" w:rsidP="000D24C2">
      <w:pPr>
        <w:pStyle w:val="TableParagraph"/>
        <w:ind w:left="114"/>
        <w:rPr>
          <w:rFonts w:ascii="Calibri" w:eastAsia="Trebuchet MS" w:hAnsi="Calibri" w:cs="Calibri"/>
          <w:sz w:val="20"/>
          <w:szCs w:val="20"/>
        </w:rPr>
      </w:pPr>
      <w:r w:rsidRPr="000D24C2">
        <w:rPr>
          <w:rFonts w:ascii="Calibri" w:hAnsi="Calibri" w:cs="Calibri"/>
          <w:color w:val="231F20"/>
          <w:sz w:val="20"/>
          <w:szCs w:val="20"/>
        </w:rPr>
        <w:t>O AUTORACH</w:t>
      </w:r>
      <w:r w:rsidRPr="000D24C2">
        <w:rPr>
          <w:rFonts w:ascii="Calibri" w:eastAsia="Trebuchet MS" w:hAnsi="Calibri" w:cs="Calibri"/>
          <w:sz w:val="20"/>
          <w:szCs w:val="20"/>
        </w:rPr>
        <w:tab/>
      </w:r>
      <w:r w:rsidRPr="000D24C2">
        <w:rPr>
          <w:rFonts w:ascii="Calibri" w:hAnsi="Calibri" w:cs="Calibri"/>
          <w:color w:val="231F20"/>
          <w:sz w:val="20"/>
          <w:szCs w:val="20"/>
        </w:rPr>
        <w:t>327</w:t>
      </w:r>
    </w:p>
    <w:sectPr w:rsidR="000D24C2" w:rsidRPr="000D24C2">
      <w:pgSz w:w="9530" w:h="13660"/>
      <w:pgMar w:top="440" w:right="1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F3"/>
    <w:multiLevelType w:val="multilevel"/>
    <w:tmpl w:val="A4A4B006"/>
    <w:lvl w:ilvl="0">
      <w:start w:val="5"/>
      <w:numFmt w:val="decimal"/>
      <w:lvlText w:val="%1"/>
      <w:lvlJc w:val="left"/>
      <w:pPr>
        <w:ind w:left="84" w:hanging="4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" w:hanging="458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" w:hanging="458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877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0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8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458"/>
      </w:pPr>
      <w:rPr>
        <w:rFonts w:hint="default"/>
      </w:rPr>
    </w:lvl>
  </w:abstractNum>
  <w:abstractNum w:abstractNumId="1">
    <w:nsid w:val="13D10041"/>
    <w:multiLevelType w:val="multilevel"/>
    <w:tmpl w:val="6A361D24"/>
    <w:lvl w:ilvl="0">
      <w:start w:val="5"/>
      <w:numFmt w:val="decimal"/>
      <w:lvlText w:val="%1"/>
      <w:lvlJc w:val="left"/>
      <w:pPr>
        <w:ind w:left="84" w:hanging="4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" w:hanging="458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" w:hanging="458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877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0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8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458"/>
      </w:pPr>
      <w:rPr>
        <w:rFonts w:hint="default"/>
      </w:rPr>
    </w:lvl>
  </w:abstractNum>
  <w:abstractNum w:abstractNumId="2">
    <w:nsid w:val="1F9019FB"/>
    <w:multiLevelType w:val="multilevel"/>
    <w:tmpl w:val="3F60ACE0"/>
    <w:lvl w:ilvl="0">
      <w:start w:val="4"/>
      <w:numFmt w:val="decimal"/>
      <w:lvlText w:val="%1."/>
      <w:lvlJc w:val="left"/>
      <w:pPr>
        <w:ind w:left="563" w:hanging="454"/>
        <w:jc w:val="left"/>
      </w:pPr>
      <w:rPr>
        <w:rFonts w:ascii="Trebuchet MS" w:eastAsia="Trebuchet MS" w:hAnsi="Trebuchet MS" w:hint="default"/>
        <w:b/>
        <w:bCs/>
        <w:color w:val="231F20"/>
        <w:spacing w:val="4"/>
        <w:w w:val="90"/>
        <w:sz w:val="18"/>
        <w:szCs w:val="18"/>
      </w:rPr>
    </w:lvl>
    <w:lvl w:ilvl="1">
      <w:start w:val="1"/>
      <w:numFmt w:val="decimal"/>
      <w:lvlText w:val="%1.%2."/>
      <w:lvlJc w:val="left"/>
      <w:pPr>
        <w:ind w:left="563" w:hanging="454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99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54"/>
      </w:pPr>
      <w:rPr>
        <w:rFonts w:hint="default"/>
      </w:rPr>
    </w:lvl>
  </w:abstractNum>
  <w:abstractNum w:abstractNumId="3">
    <w:nsid w:val="2DE15071"/>
    <w:multiLevelType w:val="multilevel"/>
    <w:tmpl w:val="9F621EE4"/>
    <w:lvl w:ilvl="0">
      <w:start w:val="5"/>
      <w:numFmt w:val="decimal"/>
      <w:lvlText w:val="%1"/>
      <w:lvlJc w:val="left"/>
      <w:pPr>
        <w:ind w:left="84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" w:hanging="44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" w:hanging="446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877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0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8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446"/>
      </w:pPr>
      <w:rPr>
        <w:rFonts w:hint="default"/>
      </w:rPr>
    </w:lvl>
  </w:abstractNum>
  <w:abstractNum w:abstractNumId="4">
    <w:nsid w:val="4CB63440"/>
    <w:multiLevelType w:val="multilevel"/>
    <w:tmpl w:val="915CEC4C"/>
    <w:lvl w:ilvl="0">
      <w:start w:val="1"/>
      <w:numFmt w:val="decimal"/>
      <w:lvlText w:val="%1."/>
      <w:lvlJc w:val="left"/>
      <w:pPr>
        <w:ind w:left="563" w:hanging="454"/>
        <w:jc w:val="left"/>
      </w:pPr>
      <w:rPr>
        <w:rFonts w:ascii="Calibri" w:eastAsia="Calibri" w:hAnsi="Calibri" w:hint="default"/>
        <w:b/>
        <w:bCs/>
        <w:color w:val="231F20"/>
        <w:spacing w:val="4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63" w:hanging="454"/>
        <w:jc w:val="left"/>
      </w:pPr>
      <w:rPr>
        <w:rFonts w:ascii="Calibri" w:eastAsia="Calibri" w:hAnsi="Calibri" w:hint="default"/>
        <w:color w:val="231F20"/>
        <w:spacing w:val="3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15" w:hanging="453"/>
        <w:jc w:val="left"/>
      </w:pPr>
      <w:rPr>
        <w:rFonts w:ascii="Calibri" w:eastAsia="Calibri" w:hAnsi="Calibri" w:hint="default"/>
        <w:color w:val="231F20"/>
        <w:spacing w:val="2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851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8" w:hanging="4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4" w:hanging="4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6" w:hanging="4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2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645B"/>
    <w:rsid w:val="000D24C2"/>
    <w:rsid w:val="0016645B"/>
    <w:rsid w:val="006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  <w:ind w:left="84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9B81E5B2</Template>
  <TotalTime>17</TotalTime>
  <Pages>2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2017-05-18T13:16:00Z</dcterms:created>
  <dcterms:modified xsi:type="dcterms:W3CDTF">2017-05-19T11:58:00Z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2017-05-18T00:00:00Z</vt:filetime>
  </property>
</Properties>
</file>