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7C" w:rsidRPr="005647AE" w:rsidRDefault="005647AE" w:rsidP="005647AE">
      <w:pPr>
        <w:pStyle w:val="Tekstpodstawowy"/>
        <w:spacing w:before="0"/>
        <w:ind w:left="117" w:firstLin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Wykaz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st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oso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wany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ch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skr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ótó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9</w:t>
      </w:r>
    </w:p>
    <w:p w:rsidR="0082387C" w:rsidRPr="005647AE" w:rsidRDefault="005647AE" w:rsidP="005647AE">
      <w:pPr>
        <w:pStyle w:val="Tekstpodstawowy"/>
        <w:spacing w:before="0"/>
        <w:ind w:left="117" w:firstLin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Wstęp</w:t>
      </w:r>
      <w:r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bookmarkStart w:id="0" w:name="_GoBack"/>
      <w:bookmarkEnd w:id="0"/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11</w:t>
      </w:r>
    </w:p>
    <w:p w:rsidR="005647AE" w:rsidRPr="005647AE" w:rsidRDefault="005647AE" w:rsidP="005647AE">
      <w:pPr>
        <w:ind w:left="117"/>
        <w:rPr>
          <w:rFonts w:ascii="Calibri" w:hAnsi="Calibri" w:cs="Calibri"/>
          <w:color w:val="231F20"/>
          <w:lang w:val="pl-PL"/>
        </w:rPr>
      </w:pPr>
    </w:p>
    <w:p w:rsidR="0082387C" w:rsidRPr="005647AE" w:rsidRDefault="005647AE" w:rsidP="005647AE">
      <w:pPr>
        <w:ind w:left="117"/>
        <w:rPr>
          <w:rFonts w:ascii="Calibri" w:hAnsi="Calibri" w:cs="Calibri"/>
          <w:b/>
          <w:bCs/>
          <w:lang w:val="pl-PL"/>
        </w:rPr>
      </w:pPr>
      <w:r w:rsidRPr="005647AE">
        <w:rPr>
          <w:rFonts w:ascii="Calibri" w:hAnsi="Calibri" w:cs="Calibri"/>
          <w:b/>
          <w:color w:val="231F20"/>
          <w:lang w:val="pl-PL"/>
        </w:rPr>
        <w:t>R</w:t>
      </w:r>
      <w:r w:rsidRPr="005647AE">
        <w:rPr>
          <w:rFonts w:ascii="Calibri" w:hAnsi="Calibri" w:cs="Calibri"/>
          <w:b/>
          <w:color w:val="231F20"/>
          <w:lang w:val="pl-PL"/>
        </w:rPr>
        <w:t>ozdział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pierwszy. </w:t>
      </w:r>
      <w:r w:rsidRPr="005647AE">
        <w:rPr>
          <w:rFonts w:ascii="Calibri" w:hAnsi="Calibri" w:cs="Calibri"/>
          <w:b/>
          <w:color w:val="231F20"/>
          <w:lang w:val="pl-PL"/>
        </w:rPr>
        <w:t>Z</w:t>
      </w:r>
      <w:r w:rsidRPr="005647AE">
        <w:rPr>
          <w:rFonts w:ascii="Calibri" w:hAnsi="Calibri" w:cs="Calibri"/>
          <w:b/>
          <w:color w:val="231F20"/>
          <w:lang w:val="pl-PL"/>
        </w:rPr>
        <w:t>ag</w:t>
      </w:r>
      <w:r w:rsidRPr="005647AE">
        <w:rPr>
          <w:rFonts w:ascii="Calibri" w:hAnsi="Calibri" w:cs="Calibri"/>
          <w:b/>
          <w:color w:val="231F20"/>
          <w:lang w:val="pl-PL"/>
        </w:rPr>
        <w:t>adnienia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wprowadzające</w:t>
      </w:r>
      <w:r w:rsidRPr="005647AE">
        <w:rPr>
          <w:rFonts w:ascii="Calibri" w:hAnsi="Calibri" w:cs="Calibri"/>
          <w:b/>
          <w:color w:val="231F20"/>
          <w:lang w:val="pl-PL"/>
        </w:rPr>
        <w:tab/>
      </w:r>
      <w:r w:rsidRPr="005647AE">
        <w:rPr>
          <w:rFonts w:ascii="Calibri" w:hAnsi="Calibri" w:cs="Calibri"/>
          <w:b/>
          <w:color w:val="231F20"/>
          <w:lang w:val="pl-PL"/>
        </w:rPr>
        <w:t>15</w:t>
      </w:r>
    </w:p>
    <w:p w:rsidR="0082387C" w:rsidRPr="005647AE" w:rsidRDefault="005647AE" w:rsidP="005647AE">
      <w:pPr>
        <w:pStyle w:val="Tekstpodstawowy"/>
        <w:numPr>
          <w:ilvl w:val="0"/>
          <w:numId w:val="4"/>
        </w:numPr>
        <w:spacing w:before="0"/>
        <w:ind w:hanging="258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Wyjaśnienie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pojęcia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jawności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–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f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unk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cje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jawności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15</w:t>
      </w:r>
    </w:p>
    <w:p w:rsidR="0082387C" w:rsidRPr="005647AE" w:rsidRDefault="005647AE" w:rsidP="005647AE">
      <w:pPr>
        <w:pStyle w:val="Tekstpodstawowy"/>
        <w:numPr>
          <w:ilvl w:val="0"/>
          <w:numId w:val="4"/>
        </w:numPr>
        <w:spacing w:before="0"/>
        <w:ind w:hanging="258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Jawność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ogr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anicz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enia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ujęciu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ew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oluc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yjnym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–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og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ólna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ezentacja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obo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wiązujący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ch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obecnie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unormo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awny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ch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29</w:t>
      </w:r>
    </w:p>
    <w:p w:rsidR="005647AE" w:rsidRDefault="005647AE" w:rsidP="005647AE">
      <w:pPr>
        <w:ind w:left="117"/>
        <w:rPr>
          <w:rFonts w:ascii="Calibri" w:hAnsi="Calibri" w:cs="Calibri"/>
          <w:color w:val="231F20"/>
          <w:lang w:val="pl-PL"/>
        </w:rPr>
      </w:pPr>
    </w:p>
    <w:p w:rsidR="0082387C" w:rsidRPr="005647AE" w:rsidRDefault="005647AE" w:rsidP="005647AE">
      <w:pPr>
        <w:ind w:left="117"/>
        <w:rPr>
          <w:rFonts w:ascii="Calibri" w:hAnsi="Calibri" w:cs="Calibri"/>
          <w:b/>
          <w:bCs/>
          <w:lang w:val="pl-PL"/>
        </w:rPr>
      </w:pPr>
      <w:r w:rsidRPr="005647AE">
        <w:rPr>
          <w:rFonts w:ascii="Calibri" w:hAnsi="Calibri" w:cs="Calibri"/>
          <w:b/>
          <w:color w:val="231F20"/>
          <w:lang w:val="pl-PL"/>
        </w:rPr>
        <w:t>R</w:t>
      </w:r>
      <w:r w:rsidRPr="005647AE">
        <w:rPr>
          <w:rFonts w:ascii="Calibri" w:hAnsi="Calibri" w:cs="Calibri"/>
          <w:b/>
          <w:color w:val="231F20"/>
          <w:lang w:val="pl-PL"/>
        </w:rPr>
        <w:t>ozdział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drugi. </w:t>
      </w:r>
      <w:r w:rsidRPr="005647AE">
        <w:rPr>
          <w:rFonts w:ascii="Calibri" w:hAnsi="Calibri" w:cs="Calibri"/>
          <w:b/>
          <w:color w:val="231F20"/>
          <w:lang w:val="pl-PL"/>
        </w:rPr>
        <w:t>Jawność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działań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administr</w:t>
      </w:r>
      <w:r w:rsidRPr="005647AE">
        <w:rPr>
          <w:rFonts w:ascii="Calibri" w:hAnsi="Calibri" w:cs="Calibri"/>
          <w:b/>
          <w:color w:val="231F20"/>
          <w:lang w:val="pl-PL"/>
        </w:rPr>
        <w:t>acji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publicznej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na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gruncie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ustawy </w:t>
      </w:r>
      <w:r w:rsidRPr="005647AE">
        <w:rPr>
          <w:rFonts w:ascii="Calibri" w:hAnsi="Calibri" w:cs="Calibri"/>
          <w:b/>
          <w:color w:val="231F20"/>
          <w:lang w:val="pl-PL"/>
        </w:rPr>
        <w:t>o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dost</w:t>
      </w:r>
      <w:r w:rsidRPr="005647AE">
        <w:rPr>
          <w:rFonts w:ascii="Calibri" w:hAnsi="Calibri" w:cs="Calibri"/>
          <w:b/>
          <w:color w:val="231F20"/>
          <w:lang w:val="pl-PL"/>
        </w:rPr>
        <w:t>ępie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do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informacji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publicznej</w:t>
      </w:r>
      <w:r w:rsidRPr="005647AE">
        <w:rPr>
          <w:rFonts w:ascii="Calibri" w:hAnsi="Calibri" w:cs="Calibri"/>
          <w:b/>
          <w:color w:val="231F20"/>
          <w:lang w:val="pl-PL"/>
        </w:rPr>
        <w:tab/>
        <w:t>83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83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Uwagi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wstępne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83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83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ojęcie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odz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aje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informacji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84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58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Zakres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podmioto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wy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prawa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dost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ępu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informacji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zakres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podmioto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wy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obowiązk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udostępnienia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99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83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ojęcie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ścieżki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dost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ępu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informacji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106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83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Biule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tyn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ormacji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110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83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Centr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alne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epo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zyt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orium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informacji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122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83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Udost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ępnienie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informacji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na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wniosek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127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83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zostałe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ścieżki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dost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ępu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informacji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144</w:t>
      </w:r>
    </w:p>
    <w:p w:rsidR="0082387C" w:rsidRPr="005647AE" w:rsidRDefault="005647AE" w:rsidP="005647AE">
      <w:pPr>
        <w:pStyle w:val="Tekstpodstawowy"/>
        <w:numPr>
          <w:ilvl w:val="0"/>
          <w:numId w:val="3"/>
        </w:numPr>
        <w:spacing w:before="0"/>
        <w:ind w:hanging="283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Odpowiedzialność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awna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nieudost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ępnienie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informacji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154</w:t>
      </w:r>
    </w:p>
    <w:p w:rsidR="0082387C" w:rsidRPr="005647AE" w:rsidRDefault="0082387C" w:rsidP="005647AE">
      <w:pPr>
        <w:rPr>
          <w:rFonts w:ascii="Calibri" w:eastAsia="Tahoma" w:hAnsi="Calibri" w:cs="Calibri"/>
          <w:lang w:val="pl-PL"/>
        </w:rPr>
      </w:pPr>
    </w:p>
    <w:p w:rsidR="0082387C" w:rsidRPr="005647AE" w:rsidRDefault="005647AE" w:rsidP="005647AE">
      <w:pPr>
        <w:ind w:left="103"/>
        <w:rPr>
          <w:rFonts w:ascii="Calibri" w:eastAsia="Trebuchet MS" w:hAnsi="Calibri" w:cs="Calibri"/>
          <w:b/>
          <w:lang w:val="pl-PL"/>
        </w:rPr>
      </w:pPr>
      <w:r w:rsidRPr="005647AE">
        <w:rPr>
          <w:rFonts w:ascii="Calibri" w:hAnsi="Calibri" w:cs="Calibri"/>
          <w:b/>
          <w:color w:val="231F20"/>
          <w:lang w:val="pl-PL"/>
        </w:rPr>
        <w:t>R</w:t>
      </w:r>
      <w:r w:rsidRPr="005647AE">
        <w:rPr>
          <w:rFonts w:ascii="Calibri" w:hAnsi="Calibri" w:cs="Calibri"/>
          <w:b/>
          <w:color w:val="231F20"/>
          <w:lang w:val="pl-PL"/>
        </w:rPr>
        <w:t>ozdział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trzeci. </w:t>
      </w:r>
      <w:r w:rsidRPr="005647AE">
        <w:rPr>
          <w:rFonts w:ascii="Calibri" w:hAnsi="Calibri" w:cs="Calibri"/>
          <w:b/>
          <w:color w:val="231F20"/>
          <w:lang w:val="pl-PL"/>
        </w:rPr>
        <w:t>Jawność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działań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administr</w:t>
      </w:r>
      <w:r w:rsidRPr="005647AE">
        <w:rPr>
          <w:rFonts w:ascii="Calibri" w:hAnsi="Calibri" w:cs="Calibri"/>
          <w:b/>
          <w:color w:val="231F20"/>
          <w:lang w:val="pl-PL"/>
        </w:rPr>
        <w:t>acji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publicznej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na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gruncie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innych </w:t>
      </w:r>
      <w:r w:rsidRPr="005647AE">
        <w:rPr>
          <w:rFonts w:ascii="Calibri" w:hAnsi="Calibri" w:cs="Calibri"/>
          <w:b/>
          <w:color w:val="231F20"/>
          <w:lang w:val="pl-PL"/>
        </w:rPr>
        <w:t>r</w:t>
      </w:r>
      <w:r w:rsidRPr="005647AE">
        <w:rPr>
          <w:rFonts w:ascii="Calibri" w:hAnsi="Calibri" w:cs="Calibri"/>
          <w:b/>
          <w:color w:val="231F20"/>
          <w:lang w:val="pl-PL"/>
        </w:rPr>
        <w:t>e</w:t>
      </w:r>
      <w:r w:rsidRPr="005647AE">
        <w:rPr>
          <w:rFonts w:ascii="Calibri" w:hAnsi="Calibri" w:cs="Calibri"/>
          <w:b/>
          <w:color w:val="231F20"/>
          <w:lang w:val="pl-PL"/>
        </w:rPr>
        <w:t>gulacji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administracyjnoprawnych</w:t>
      </w:r>
      <w:r w:rsidRPr="005647AE">
        <w:rPr>
          <w:rFonts w:ascii="Calibri" w:hAnsi="Calibri" w:cs="Calibri"/>
          <w:b/>
          <w:color w:val="231F20"/>
          <w:lang w:val="pl-PL"/>
        </w:rPr>
        <w:tab/>
      </w:r>
      <w:r w:rsidRPr="005647AE">
        <w:rPr>
          <w:rFonts w:ascii="Calibri" w:hAnsi="Calibri" w:cs="Calibri"/>
          <w:b/>
          <w:color w:val="231F20"/>
          <w:lang w:val="pl-PL"/>
        </w:rPr>
        <w:t>167</w:t>
      </w:r>
    </w:p>
    <w:p w:rsidR="0082387C" w:rsidRPr="005647AE" w:rsidRDefault="005647AE" w:rsidP="005647AE">
      <w:pPr>
        <w:pStyle w:val="Tekstpodstawowy"/>
        <w:numPr>
          <w:ilvl w:val="0"/>
          <w:numId w:val="2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Uwagi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wstępne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167</w:t>
      </w:r>
    </w:p>
    <w:p w:rsidR="0082387C" w:rsidRPr="005647AE" w:rsidRDefault="005647AE" w:rsidP="005647AE">
      <w:pPr>
        <w:pStyle w:val="Tekstpodstawowy"/>
        <w:numPr>
          <w:ilvl w:val="0"/>
          <w:numId w:val="2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Jawność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ogłaszanie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prawa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171</w:t>
      </w:r>
    </w:p>
    <w:p w:rsidR="0082387C" w:rsidRPr="005647AE" w:rsidRDefault="005647AE" w:rsidP="005647AE">
      <w:pPr>
        <w:pStyle w:val="Tekstpodstawowy"/>
        <w:numPr>
          <w:ilvl w:val="0"/>
          <w:numId w:val="2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Jawność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awnej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regulacji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lobbingu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179</w:t>
      </w:r>
    </w:p>
    <w:p w:rsidR="0082387C" w:rsidRPr="005647AE" w:rsidRDefault="005647AE" w:rsidP="005647AE">
      <w:pPr>
        <w:pStyle w:val="Tekstpodstawowy"/>
        <w:numPr>
          <w:ilvl w:val="0"/>
          <w:numId w:val="2"/>
        </w:numPr>
        <w:spacing w:before="0"/>
        <w:ind w:hanging="245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Jawność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awna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regulacja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dost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ępu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infor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macji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śr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odowisk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jeg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ochronie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191</w:t>
      </w:r>
    </w:p>
    <w:p w:rsidR="0082387C" w:rsidRPr="005647AE" w:rsidRDefault="005647AE" w:rsidP="005647AE">
      <w:pPr>
        <w:pStyle w:val="Tekstpodstawowy"/>
        <w:numPr>
          <w:ilvl w:val="0"/>
          <w:numId w:val="2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Jawność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proc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edurze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administrac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yjnej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204</w:t>
      </w:r>
    </w:p>
    <w:p w:rsidR="0082387C" w:rsidRPr="005647AE" w:rsidRDefault="005647AE" w:rsidP="005647AE">
      <w:pPr>
        <w:pStyle w:val="Tekstpodstawowy"/>
        <w:numPr>
          <w:ilvl w:val="0"/>
          <w:numId w:val="2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Jawność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awie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amó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wień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publicznych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222</w:t>
      </w:r>
    </w:p>
    <w:p w:rsidR="0082387C" w:rsidRPr="005647AE" w:rsidRDefault="0082387C" w:rsidP="005647AE">
      <w:pPr>
        <w:rPr>
          <w:rFonts w:ascii="Calibri" w:eastAsia="Tahoma" w:hAnsi="Calibri" w:cs="Calibri"/>
          <w:lang w:val="pl-PL"/>
        </w:rPr>
      </w:pPr>
    </w:p>
    <w:p w:rsidR="0082387C" w:rsidRPr="005647AE" w:rsidRDefault="005647AE" w:rsidP="005647AE">
      <w:pPr>
        <w:ind w:left="103"/>
        <w:rPr>
          <w:rFonts w:ascii="Calibri" w:hAnsi="Calibri" w:cs="Calibri"/>
          <w:b/>
          <w:bCs/>
          <w:lang w:val="pl-PL"/>
        </w:rPr>
      </w:pPr>
      <w:r w:rsidRPr="005647AE">
        <w:rPr>
          <w:rFonts w:ascii="Calibri" w:hAnsi="Calibri" w:cs="Calibri"/>
          <w:b/>
          <w:color w:val="231F20"/>
          <w:lang w:val="pl-PL"/>
        </w:rPr>
        <w:t>R</w:t>
      </w:r>
      <w:r w:rsidRPr="005647AE">
        <w:rPr>
          <w:rFonts w:ascii="Calibri" w:hAnsi="Calibri" w:cs="Calibri"/>
          <w:b/>
          <w:color w:val="231F20"/>
          <w:lang w:val="pl-PL"/>
        </w:rPr>
        <w:t>ozdział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czwarty. </w:t>
      </w:r>
      <w:r w:rsidRPr="005647AE">
        <w:rPr>
          <w:rFonts w:ascii="Calibri" w:hAnsi="Calibri" w:cs="Calibri"/>
          <w:b/>
          <w:color w:val="231F20"/>
          <w:lang w:val="pl-PL"/>
        </w:rPr>
        <w:t>Ograniczenia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jawności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działań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administr</w:t>
      </w:r>
      <w:r w:rsidRPr="005647AE">
        <w:rPr>
          <w:rFonts w:ascii="Calibri" w:hAnsi="Calibri" w:cs="Calibri"/>
          <w:b/>
          <w:color w:val="231F20"/>
          <w:lang w:val="pl-PL"/>
        </w:rPr>
        <w:t>acji</w:t>
      </w:r>
      <w:r w:rsidRPr="005647AE">
        <w:rPr>
          <w:rFonts w:ascii="Calibri" w:hAnsi="Calibri" w:cs="Calibri"/>
          <w:b/>
          <w:color w:val="231F20"/>
          <w:lang w:val="pl-PL"/>
        </w:rPr>
        <w:t xml:space="preserve"> </w:t>
      </w:r>
      <w:r w:rsidRPr="005647AE">
        <w:rPr>
          <w:rFonts w:ascii="Calibri" w:hAnsi="Calibri" w:cs="Calibri"/>
          <w:b/>
          <w:color w:val="231F20"/>
          <w:lang w:val="pl-PL"/>
        </w:rPr>
        <w:t>publicznej</w:t>
      </w:r>
      <w:r w:rsidRPr="005647AE">
        <w:rPr>
          <w:rFonts w:ascii="Calibri" w:hAnsi="Calibri" w:cs="Calibri"/>
          <w:b/>
          <w:color w:val="231F20"/>
          <w:lang w:val="pl-PL"/>
        </w:rPr>
        <w:tab/>
      </w:r>
      <w:r w:rsidRPr="005647AE">
        <w:rPr>
          <w:rFonts w:ascii="Calibri" w:hAnsi="Calibri" w:cs="Calibri"/>
          <w:b/>
          <w:color w:val="231F20"/>
          <w:lang w:val="pl-PL"/>
        </w:rPr>
        <w:t>235</w:t>
      </w:r>
    </w:p>
    <w:p w:rsidR="0082387C" w:rsidRPr="005647AE" w:rsidRDefault="005647AE" w:rsidP="005647AE">
      <w:pPr>
        <w:pStyle w:val="Tekstpodstawowy"/>
        <w:numPr>
          <w:ilvl w:val="0"/>
          <w:numId w:val="1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Uwagi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wstępne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235</w:t>
      </w:r>
    </w:p>
    <w:p w:rsidR="0082387C" w:rsidRPr="005647AE" w:rsidRDefault="005647AE" w:rsidP="005647AE">
      <w:pPr>
        <w:pStyle w:val="Tekstpodstawowy"/>
        <w:numPr>
          <w:ilvl w:val="0"/>
          <w:numId w:val="1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Ogr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anicz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enia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jawności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względu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na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dobro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wspólne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  <w:t>237</w:t>
      </w:r>
    </w:p>
    <w:p w:rsidR="0082387C" w:rsidRPr="005647AE" w:rsidRDefault="005647AE" w:rsidP="005647AE">
      <w:pPr>
        <w:pStyle w:val="Tekstpodstawowy"/>
        <w:numPr>
          <w:ilvl w:val="0"/>
          <w:numId w:val="1"/>
        </w:numPr>
        <w:spacing w:before="0"/>
        <w:ind w:hanging="245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Ogr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anicz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enia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jawności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względu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na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yw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at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ność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jednostki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265</w:t>
      </w:r>
    </w:p>
    <w:p w:rsidR="0082387C" w:rsidRPr="005647AE" w:rsidRDefault="005647AE" w:rsidP="005647AE">
      <w:pPr>
        <w:pStyle w:val="Tekstpodstawowy"/>
        <w:numPr>
          <w:ilvl w:val="0"/>
          <w:numId w:val="1"/>
        </w:numPr>
        <w:spacing w:before="0"/>
        <w:ind w:hanging="245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Ogr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anicz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enia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jawności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działań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administr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acji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publicznej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względu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na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inne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dobr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a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prawnie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 xml:space="preserve"> 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chronione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300</w:t>
      </w:r>
    </w:p>
    <w:p w:rsidR="0082387C" w:rsidRPr="005647AE" w:rsidRDefault="0082387C" w:rsidP="005647AE">
      <w:pPr>
        <w:rPr>
          <w:rFonts w:ascii="Calibri" w:eastAsia="Tahoma" w:hAnsi="Calibri" w:cs="Calibri"/>
          <w:lang w:val="pl-PL"/>
        </w:rPr>
      </w:pPr>
    </w:p>
    <w:p w:rsidR="0082387C" w:rsidRPr="005647AE" w:rsidRDefault="005647AE" w:rsidP="005647AE">
      <w:pPr>
        <w:pStyle w:val="Tekstpodstawowy"/>
        <w:spacing w:before="0"/>
        <w:ind w:left="103" w:firstLin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Zakończenie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309</w:t>
      </w:r>
    </w:p>
    <w:p w:rsidR="0082387C" w:rsidRPr="005647AE" w:rsidRDefault="005647AE" w:rsidP="005647AE">
      <w:pPr>
        <w:pStyle w:val="Tekstpodstawowy"/>
        <w:spacing w:before="0"/>
        <w:ind w:left="103" w:firstLine="0"/>
        <w:rPr>
          <w:rFonts w:ascii="Calibri" w:hAnsi="Calibri" w:cs="Calibri"/>
          <w:sz w:val="22"/>
          <w:szCs w:val="22"/>
          <w:lang w:val="pl-PL"/>
        </w:rPr>
      </w:pP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Bibliografia</w:t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ab/>
      </w:r>
      <w:r w:rsidRPr="005647AE">
        <w:rPr>
          <w:rFonts w:ascii="Calibri" w:hAnsi="Calibri" w:cs="Calibri"/>
          <w:color w:val="231F20"/>
          <w:sz w:val="22"/>
          <w:szCs w:val="22"/>
          <w:lang w:val="pl-PL"/>
        </w:rPr>
        <w:t>315</w:t>
      </w:r>
    </w:p>
    <w:sectPr w:rsidR="0082387C" w:rsidRPr="005647AE" w:rsidSect="005647AE">
      <w:pgSz w:w="9530" w:h="13610"/>
      <w:pgMar w:top="454" w:right="851" w:bottom="22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AA6"/>
    <w:multiLevelType w:val="hybridMultilevel"/>
    <w:tmpl w:val="FE1C4074"/>
    <w:lvl w:ilvl="0" w:tplc="F3EEB8B2">
      <w:start w:val="1"/>
      <w:numFmt w:val="decimal"/>
      <w:lvlText w:val="%1."/>
      <w:lvlJc w:val="left"/>
      <w:pPr>
        <w:ind w:left="400" w:hanging="284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0164A91A">
      <w:start w:val="1"/>
      <w:numFmt w:val="bullet"/>
      <w:lvlText w:val="•"/>
      <w:lvlJc w:val="left"/>
      <w:pPr>
        <w:ind w:left="523" w:hanging="284"/>
      </w:pPr>
      <w:rPr>
        <w:rFonts w:hint="default"/>
      </w:rPr>
    </w:lvl>
    <w:lvl w:ilvl="2" w:tplc="D026B750">
      <w:start w:val="1"/>
      <w:numFmt w:val="bullet"/>
      <w:lvlText w:val="•"/>
      <w:lvlJc w:val="left"/>
      <w:pPr>
        <w:ind w:left="1283" w:hanging="284"/>
      </w:pPr>
      <w:rPr>
        <w:rFonts w:hint="default"/>
      </w:rPr>
    </w:lvl>
    <w:lvl w:ilvl="3" w:tplc="ECAE6764">
      <w:start w:val="1"/>
      <w:numFmt w:val="bullet"/>
      <w:lvlText w:val="•"/>
      <w:lvlJc w:val="left"/>
      <w:pPr>
        <w:ind w:left="2043" w:hanging="284"/>
      </w:pPr>
      <w:rPr>
        <w:rFonts w:hint="default"/>
      </w:rPr>
    </w:lvl>
    <w:lvl w:ilvl="4" w:tplc="DFF07AD6">
      <w:start w:val="1"/>
      <w:numFmt w:val="bullet"/>
      <w:lvlText w:val="•"/>
      <w:lvlJc w:val="left"/>
      <w:pPr>
        <w:ind w:left="2803" w:hanging="284"/>
      </w:pPr>
      <w:rPr>
        <w:rFonts w:hint="default"/>
      </w:rPr>
    </w:lvl>
    <w:lvl w:ilvl="5" w:tplc="E972639E">
      <w:start w:val="1"/>
      <w:numFmt w:val="bullet"/>
      <w:lvlText w:val="•"/>
      <w:lvlJc w:val="left"/>
      <w:pPr>
        <w:ind w:left="3563" w:hanging="284"/>
      </w:pPr>
      <w:rPr>
        <w:rFonts w:hint="default"/>
      </w:rPr>
    </w:lvl>
    <w:lvl w:ilvl="6" w:tplc="1C44C632">
      <w:start w:val="1"/>
      <w:numFmt w:val="bullet"/>
      <w:lvlText w:val="•"/>
      <w:lvlJc w:val="left"/>
      <w:pPr>
        <w:ind w:left="4323" w:hanging="284"/>
      </w:pPr>
      <w:rPr>
        <w:rFonts w:hint="default"/>
      </w:rPr>
    </w:lvl>
    <w:lvl w:ilvl="7" w:tplc="1780E636">
      <w:start w:val="1"/>
      <w:numFmt w:val="bullet"/>
      <w:lvlText w:val="•"/>
      <w:lvlJc w:val="left"/>
      <w:pPr>
        <w:ind w:left="5084" w:hanging="284"/>
      </w:pPr>
      <w:rPr>
        <w:rFonts w:hint="default"/>
      </w:rPr>
    </w:lvl>
    <w:lvl w:ilvl="8" w:tplc="5ECAD4EA">
      <w:start w:val="1"/>
      <w:numFmt w:val="bullet"/>
      <w:lvlText w:val="•"/>
      <w:lvlJc w:val="left"/>
      <w:pPr>
        <w:ind w:left="5844" w:hanging="284"/>
      </w:pPr>
      <w:rPr>
        <w:rFonts w:hint="default"/>
      </w:rPr>
    </w:lvl>
  </w:abstractNum>
  <w:abstractNum w:abstractNumId="1">
    <w:nsid w:val="2A861845"/>
    <w:multiLevelType w:val="hybridMultilevel"/>
    <w:tmpl w:val="73CCB442"/>
    <w:lvl w:ilvl="0" w:tplc="FB601E3C">
      <w:start w:val="1"/>
      <w:numFmt w:val="decimal"/>
      <w:lvlText w:val="%1."/>
      <w:lvlJc w:val="left"/>
      <w:pPr>
        <w:ind w:left="387" w:hanging="284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5614D6B6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 w:tplc="9CE0E778">
      <w:start w:val="1"/>
      <w:numFmt w:val="bullet"/>
      <w:lvlText w:val="•"/>
      <w:lvlJc w:val="left"/>
      <w:pPr>
        <w:ind w:left="1782" w:hanging="284"/>
      </w:pPr>
      <w:rPr>
        <w:rFonts w:hint="default"/>
      </w:rPr>
    </w:lvl>
    <w:lvl w:ilvl="3" w:tplc="73C27372">
      <w:start w:val="1"/>
      <w:numFmt w:val="bullet"/>
      <w:lvlText w:val="•"/>
      <w:lvlJc w:val="left"/>
      <w:pPr>
        <w:ind w:left="2480" w:hanging="284"/>
      </w:pPr>
      <w:rPr>
        <w:rFonts w:hint="default"/>
      </w:rPr>
    </w:lvl>
    <w:lvl w:ilvl="4" w:tplc="5F3CDC66">
      <w:start w:val="1"/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C1161DD8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6" w:tplc="63B0D8CA">
      <w:start w:val="1"/>
      <w:numFmt w:val="bullet"/>
      <w:lvlText w:val="•"/>
      <w:lvlJc w:val="left"/>
      <w:pPr>
        <w:ind w:left="4573" w:hanging="284"/>
      </w:pPr>
      <w:rPr>
        <w:rFonts w:hint="default"/>
      </w:rPr>
    </w:lvl>
    <w:lvl w:ilvl="7" w:tplc="5186DDE2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8" w:tplc="E9342EE0">
      <w:start w:val="1"/>
      <w:numFmt w:val="bullet"/>
      <w:lvlText w:val="•"/>
      <w:lvlJc w:val="left"/>
      <w:pPr>
        <w:ind w:left="5969" w:hanging="284"/>
      </w:pPr>
      <w:rPr>
        <w:rFonts w:hint="default"/>
      </w:rPr>
    </w:lvl>
  </w:abstractNum>
  <w:abstractNum w:abstractNumId="2">
    <w:nsid w:val="46224299"/>
    <w:multiLevelType w:val="hybridMultilevel"/>
    <w:tmpl w:val="34CCFBA2"/>
    <w:lvl w:ilvl="0" w:tplc="1EB2E0CA">
      <w:start w:val="1"/>
      <w:numFmt w:val="decimal"/>
      <w:lvlText w:val="%1."/>
      <w:lvlJc w:val="left"/>
      <w:pPr>
        <w:ind w:left="400" w:hanging="284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620E1B0E">
      <w:start w:val="1"/>
      <w:numFmt w:val="bullet"/>
      <w:lvlText w:val="•"/>
      <w:lvlJc w:val="left"/>
      <w:pPr>
        <w:ind w:left="1097" w:hanging="284"/>
      </w:pPr>
      <w:rPr>
        <w:rFonts w:hint="default"/>
      </w:rPr>
    </w:lvl>
    <w:lvl w:ilvl="2" w:tplc="38D49EB6">
      <w:start w:val="1"/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26BED0CA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4" w:tplc="76F2A59E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5" w:tplc="1B947BEE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  <w:lvl w:ilvl="6" w:tplc="C83E6844">
      <w:start w:val="1"/>
      <w:numFmt w:val="bullet"/>
      <w:lvlText w:val="•"/>
      <w:lvlJc w:val="left"/>
      <w:pPr>
        <w:ind w:left="4578" w:hanging="284"/>
      </w:pPr>
      <w:rPr>
        <w:rFonts w:hint="default"/>
      </w:rPr>
    </w:lvl>
    <w:lvl w:ilvl="7" w:tplc="65480BBE">
      <w:start w:val="1"/>
      <w:numFmt w:val="bullet"/>
      <w:lvlText w:val="•"/>
      <w:lvlJc w:val="left"/>
      <w:pPr>
        <w:ind w:left="5275" w:hanging="284"/>
      </w:pPr>
      <w:rPr>
        <w:rFonts w:hint="default"/>
      </w:rPr>
    </w:lvl>
    <w:lvl w:ilvl="8" w:tplc="DB26F35A">
      <w:start w:val="1"/>
      <w:numFmt w:val="bullet"/>
      <w:lvlText w:val="•"/>
      <w:lvlJc w:val="left"/>
      <w:pPr>
        <w:ind w:left="5971" w:hanging="284"/>
      </w:pPr>
      <w:rPr>
        <w:rFonts w:hint="default"/>
      </w:rPr>
    </w:lvl>
  </w:abstractNum>
  <w:abstractNum w:abstractNumId="3">
    <w:nsid w:val="4B21016C"/>
    <w:multiLevelType w:val="hybridMultilevel"/>
    <w:tmpl w:val="69B84818"/>
    <w:lvl w:ilvl="0" w:tplc="1D443576">
      <w:start w:val="1"/>
      <w:numFmt w:val="decimal"/>
      <w:lvlText w:val="%1."/>
      <w:lvlJc w:val="left"/>
      <w:pPr>
        <w:ind w:left="387" w:hanging="284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1" w:tplc="3808E134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 w:tplc="2D382ACC">
      <w:start w:val="1"/>
      <w:numFmt w:val="bullet"/>
      <w:lvlText w:val="•"/>
      <w:lvlJc w:val="left"/>
      <w:pPr>
        <w:ind w:left="1782" w:hanging="284"/>
      </w:pPr>
      <w:rPr>
        <w:rFonts w:hint="default"/>
      </w:rPr>
    </w:lvl>
    <w:lvl w:ilvl="3" w:tplc="3EC8EE8C">
      <w:start w:val="1"/>
      <w:numFmt w:val="bullet"/>
      <w:lvlText w:val="•"/>
      <w:lvlJc w:val="left"/>
      <w:pPr>
        <w:ind w:left="2480" w:hanging="284"/>
      </w:pPr>
      <w:rPr>
        <w:rFonts w:hint="default"/>
      </w:rPr>
    </w:lvl>
    <w:lvl w:ilvl="4" w:tplc="2A8ED032">
      <w:start w:val="1"/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8D3E2854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6" w:tplc="8C4009D6">
      <w:start w:val="1"/>
      <w:numFmt w:val="bullet"/>
      <w:lvlText w:val="•"/>
      <w:lvlJc w:val="left"/>
      <w:pPr>
        <w:ind w:left="4573" w:hanging="284"/>
      </w:pPr>
      <w:rPr>
        <w:rFonts w:hint="default"/>
      </w:rPr>
    </w:lvl>
    <w:lvl w:ilvl="7" w:tplc="B38E0716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8" w:tplc="59A0D608">
      <w:start w:val="1"/>
      <w:numFmt w:val="bullet"/>
      <w:lvlText w:val="•"/>
      <w:lvlJc w:val="left"/>
      <w:pPr>
        <w:ind w:left="5969" w:hanging="2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387C"/>
    <w:rsid w:val="005647AE"/>
    <w:rsid w:val="008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20"/>
      <w:ind w:left="103"/>
      <w:outlineLvl w:val="0"/>
    </w:pPr>
    <w:rPr>
      <w:rFonts w:ascii="Trebuchet MS" w:eastAsia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2"/>
      <w:ind w:left="387" w:hanging="284"/>
    </w:pPr>
    <w:rPr>
      <w:rFonts w:ascii="Tahoma" w:eastAsia="Tahoma" w:hAnsi="Tahom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DE1376AC</Template>
  <TotalTime>4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2018-03-27T15:06:00Z</dcterms:created>
  <dcterms:modified xsi:type="dcterms:W3CDTF">2018-03-27T13:11:00Z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2018-03-27T00:00:00Z</vt:filetime>
  </property>
</Properties>
</file>