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2" w:rsidRPr="00112082" w:rsidRDefault="00520FFC" w:rsidP="00112082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/>
          <w:b/>
          <w:color w:val="231F20"/>
          <w:w w:val="90"/>
          <w:sz w:val="16"/>
          <w:lang w:val="pl-PL"/>
        </w:rPr>
        <w:t>Wprowadzenie</w:t>
      </w:r>
      <w:r w:rsidR="00112082">
        <w:rPr>
          <w:rFonts w:ascii="Arial"/>
          <w:b/>
          <w:color w:val="231F20"/>
          <w:w w:val="60"/>
          <w:sz w:val="16"/>
          <w:lang w:val="pl-PL"/>
        </w:rPr>
        <w:t xml:space="preserve"> </w:t>
      </w:r>
      <w:r w:rsidRPr="00112082">
        <w:rPr>
          <w:rFonts w:ascii="Arial"/>
          <w:color w:val="231F20"/>
          <w:w w:val="60"/>
          <w:sz w:val="16"/>
          <w:lang w:val="pl-PL"/>
        </w:rPr>
        <w:tab/>
      </w:r>
      <w:r w:rsidRPr="00112082">
        <w:rPr>
          <w:rFonts w:ascii="Arial"/>
          <w:color w:val="231F20"/>
          <w:w w:val="90"/>
          <w:sz w:val="16"/>
          <w:lang w:val="pl-PL"/>
        </w:rPr>
        <w:t>7</w:t>
      </w:r>
    </w:p>
    <w:p w:rsidR="00112082" w:rsidRDefault="00112082" w:rsidP="00112082">
      <w:pPr>
        <w:ind w:right="1"/>
        <w:rPr>
          <w:rFonts w:ascii="Arial" w:hAnsi="Arial"/>
          <w:b/>
          <w:color w:val="231F20"/>
          <w:sz w:val="16"/>
          <w:lang w:val="pl-PL"/>
        </w:rPr>
      </w:pPr>
    </w:p>
    <w:p w:rsidR="00456AD2" w:rsidRPr="00112082" w:rsidRDefault="00520FFC" w:rsidP="00112082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b/>
          <w:color w:val="231F20"/>
          <w:sz w:val="16"/>
          <w:lang w:val="pl-PL"/>
        </w:rPr>
        <w:t>Rozdział I.</w:t>
      </w:r>
      <w:r w:rsidRPr="00112082">
        <w:rPr>
          <w:rFonts w:ascii="Arial" w:hAnsi="Arial"/>
          <w:b/>
          <w:color w:val="231F20"/>
          <w:spacing w:val="-1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 xml:space="preserve">Odkrywanie instytucji działania profesjonalnego </w:t>
      </w:r>
      <w:r w:rsidRPr="00112082">
        <w:rPr>
          <w:rFonts w:ascii="Arial" w:hAnsi="Arial"/>
          <w:color w:val="231F20"/>
          <w:sz w:val="16"/>
          <w:lang w:val="pl-PL"/>
        </w:rPr>
        <w:tab/>
        <w:t>15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1.1. </w:t>
      </w:r>
      <w:r w:rsidR="00520FFC" w:rsidRPr="00112082">
        <w:rPr>
          <w:rFonts w:ascii="Arial" w:hAnsi="Arial"/>
          <w:color w:val="231F20"/>
          <w:sz w:val="16"/>
          <w:lang w:val="pl-PL"/>
        </w:rPr>
        <w:t>Metodologiczne aspekty analizy działania i współdziałania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18</w:t>
      </w:r>
    </w:p>
    <w:p w:rsidR="00456AD2" w:rsidRPr="00112082" w:rsidRDefault="00112082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1.1.1. </w:t>
      </w:r>
      <w:r w:rsidR="00520FFC"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Spotkanie</w:t>
      </w:r>
      <w:r w:rsidR="00520FFC" w:rsidRPr="00112082">
        <w:rPr>
          <w:rFonts w:ascii="Arial"/>
          <w:color w:val="231F20"/>
          <w:sz w:val="16"/>
          <w:lang w:val="pl-PL"/>
        </w:rPr>
        <w:t xml:space="preserve"> interdyscyplinarne podczas wywiadu</w:t>
      </w:r>
      <w:r>
        <w:rPr>
          <w:rFonts w:ascii="Arial"/>
          <w:color w:val="231F20"/>
          <w:sz w:val="16"/>
          <w:lang w:val="pl-PL"/>
        </w:rPr>
        <w:t xml:space="preserve"> </w:t>
      </w:r>
      <w:r w:rsidR="00520FFC" w:rsidRPr="00112082">
        <w:rPr>
          <w:rFonts w:ascii="Arial"/>
          <w:color w:val="231F20"/>
          <w:sz w:val="16"/>
          <w:lang w:val="pl-PL"/>
        </w:rPr>
        <w:tab/>
        <w:t>22</w:t>
      </w:r>
    </w:p>
    <w:p w:rsidR="00456AD2" w:rsidRPr="00112082" w:rsidRDefault="00112082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1.1.2. </w:t>
      </w:r>
      <w:r w:rsidR="00520FFC"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Wykorzystanie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refleksji studentów w badaniu współdziałania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26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1.2.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Działanie profesjonalne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ab/>
        <w:t>28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1.3.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Podmioty działania. Podmiotowość w działaniu</w:t>
      </w:r>
      <w:r w:rsidRPr="00112082">
        <w:rPr>
          <w:rFonts w:ascii="Arial" w:hAnsi="Arial"/>
          <w:color w:val="231F20"/>
          <w:sz w:val="16"/>
          <w:lang w:val="pl-PL"/>
        </w:rPr>
        <w:tab/>
        <w:t>34</w:t>
      </w:r>
    </w:p>
    <w:p w:rsidR="00456AD2" w:rsidRPr="00112082" w:rsidRDefault="00520FFC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1.3.1. Relacje specjalista – podopieczny</w:t>
      </w:r>
      <w:r w:rsidR="00F27725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</w:t>
      </w:r>
      <w:r w:rsidR="00112082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37</w:t>
      </w:r>
    </w:p>
    <w:p w:rsidR="00456AD2" w:rsidRPr="00112082" w:rsidRDefault="00520FFC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 xml:space="preserve">1.3.2. Relacje pomiędzy specjalistami. Praca w zespole </w:t>
      </w:r>
      <w:r w:rsidRPr="00112082">
        <w:rPr>
          <w:rFonts w:ascii="Arial" w:hAnsi="Arial"/>
          <w:color w:val="231F20"/>
          <w:sz w:val="16"/>
          <w:lang w:val="pl-PL"/>
        </w:rPr>
        <w:tab/>
        <w:t>43</w:t>
      </w:r>
    </w:p>
    <w:p w:rsidR="00112082" w:rsidRDefault="00112082" w:rsidP="00112082">
      <w:pPr>
        <w:ind w:right="1"/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</w:pPr>
    </w:p>
    <w:p w:rsidR="00456AD2" w:rsidRPr="00112082" w:rsidRDefault="00520FFC" w:rsidP="00112082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Rozdział II.</w:t>
      </w:r>
      <w:r w:rsidRPr="00112082">
        <w:rPr>
          <w:rFonts w:ascii="Arial" w:eastAsia="Arial" w:hAnsi="Arial" w:cs="Arial"/>
          <w:b/>
          <w:bCs/>
          <w:color w:val="231F20"/>
          <w:spacing w:val="-1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Współdziałanie jako „zjawisko” niemożliwe </w:t>
      </w:r>
      <w:r w:rsidRPr="00112082">
        <w:rPr>
          <w:rFonts w:ascii="Arial" w:eastAsia="Arial" w:hAnsi="Arial" w:cs="Arial"/>
          <w:color w:val="231F20"/>
          <w:spacing w:val="4"/>
          <w:sz w:val="16"/>
          <w:szCs w:val="16"/>
          <w:lang w:val="pl-PL"/>
        </w:rPr>
        <w:t>(?)</w:t>
      </w:r>
      <w:r w:rsidR="00112082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47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2.1.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Istota współdziałania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="00112082">
        <w:rPr>
          <w:rFonts w:ascii="Arial" w:hAnsi="Arial"/>
          <w:color w:val="231F20"/>
          <w:sz w:val="16"/>
          <w:lang w:val="pl-PL"/>
        </w:rPr>
        <w:tab/>
      </w:r>
      <w:r w:rsidRPr="00112082">
        <w:rPr>
          <w:rFonts w:ascii="Arial" w:hAnsi="Arial"/>
          <w:color w:val="231F20"/>
          <w:sz w:val="16"/>
          <w:lang w:val="pl-PL"/>
        </w:rPr>
        <w:t>48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2.2.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pacing w:val="-1"/>
          <w:sz w:val="16"/>
          <w:lang w:val="pl-PL"/>
        </w:rPr>
        <w:t>Walory</w:t>
      </w:r>
      <w:r w:rsidRPr="00112082">
        <w:rPr>
          <w:rFonts w:ascii="Arial" w:hAnsi="Arial"/>
          <w:color w:val="231F20"/>
          <w:sz w:val="16"/>
          <w:lang w:val="pl-PL"/>
        </w:rPr>
        <w:t xml:space="preserve"> uczestników współdziałania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ab/>
        <w:t>53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2.3.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 xml:space="preserve">Koordynowanie współdziałania </w:t>
      </w:r>
      <w:r w:rsidRPr="00112082">
        <w:rPr>
          <w:rFonts w:ascii="Arial" w:hAnsi="Arial"/>
          <w:color w:val="231F20"/>
          <w:sz w:val="16"/>
          <w:lang w:val="pl-PL"/>
        </w:rPr>
        <w:tab/>
        <w:t>59</w:t>
      </w:r>
    </w:p>
    <w:p w:rsidR="00112082" w:rsidRDefault="00112082" w:rsidP="00112082">
      <w:pPr>
        <w:ind w:right="1"/>
        <w:rPr>
          <w:rFonts w:ascii="Arial" w:hAnsi="Arial"/>
          <w:b/>
          <w:color w:val="231F20"/>
          <w:sz w:val="16"/>
          <w:lang w:val="pl-PL"/>
        </w:rPr>
      </w:pPr>
    </w:p>
    <w:p w:rsidR="00456AD2" w:rsidRPr="00112082" w:rsidRDefault="00520FFC" w:rsidP="00112082">
      <w:pPr>
        <w:ind w:right="1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b/>
          <w:color w:val="231F20"/>
          <w:sz w:val="16"/>
          <w:lang w:val="pl-PL"/>
        </w:rPr>
        <w:t>Rozdział III.</w:t>
      </w:r>
      <w:r w:rsidRPr="00112082">
        <w:rPr>
          <w:rFonts w:ascii="Arial" w:hAnsi="Arial"/>
          <w:b/>
          <w:color w:val="231F20"/>
          <w:spacing w:val="-1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Przygotowanie do działań złożonych</w:t>
      </w:r>
      <w:r w:rsidRPr="00112082">
        <w:rPr>
          <w:rFonts w:ascii="Arial" w:hAnsi="Arial"/>
          <w:color w:val="231F20"/>
          <w:sz w:val="16"/>
          <w:lang w:val="pl-PL"/>
        </w:rPr>
        <w:tab/>
        <w:t>65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3.1.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 xml:space="preserve">Wąski lub szeroki profil kształcenia </w:t>
      </w:r>
      <w:r w:rsidRPr="00112082">
        <w:rPr>
          <w:rFonts w:ascii="Arial" w:hAnsi="Arial"/>
          <w:color w:val="231F20"/>
          <w:sz w:val="16"/>
          <w:lang w:val="pl-PL"/>
        </w:rPr>
        <w:tab/>
        <w:t>67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3.2. </w:t>
      </w:r>
      <w:r w:rsidR="00520FFC" w:rsidRPr="00112082">
        <w:rPr>
          <w:rFonts w:ascii="Arial" w:hAnsi="Arial"/>
          <w:color w:val="231F20"/>
          <w:sz w:val="16"/>
          <w:lang w:val="pl-PL"/>
        </w:rPr>
        <w:t>Innowacyjność w kształceniu. Wizja człowieka kreatywnego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74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3.3. 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Rozbudzanie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postaw.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W kierunku gotowości do współdziałania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81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3.4.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Kształcenie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1"/>
          <w:sz w:val="16"/>
          <w:lang w:val="pl-PL"/>
        </w:rPr>
        <w:t>do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profesji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społecznych.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Przygotowanie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1"/>
          <w:sz w:val="16"/>
          <w:lang w:val="pl-PL"/>
        </w:rPr>
        <w:t>do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działania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z w:val="16"/>
          <w:lang w:val="pl-PL"/>
        </w:rPr>
        <w:t>w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obszarze</w:t>
      </w:r>
      <w:r w:rsidR="00520FFC" w:rsidRPr="00112082">
        <w:rPr>
          <w:rFonts w:ascii="Arial" w:hAnsi="Arial"/>
          <w:color w:val="231F20"/>
          <w:spacing w:val="-4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zdrowia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ab/>
      </w:r>
      <w:r w:rsidR="00520FFC" w:rsidRPr="00112082">
        <w:rPr>
          <w:rFonts w:ascii="Arial" w:hAnsi="Arial"/>
          <w:color w:val="231F20"/>
          <w:sz w:val="16"/>
          <w:lang w:val="pl-PL"/>
        </w:rPr>
        <w:t>88</w:t>
      </w:r>
    </w:p>
    <w:p w:rsidR="00456AD2" w:rsidRPr="00112082" w:rsidRDefault="00112082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3.4.1. </w:t>
      </w:r>
      <w:r w:rsidR="00520FFC" w:rsidRPr="00112082">
        <w:rPr>
          <w:rFonts w:ascii="Arial" w:hAnsi="Arial"/>
          <w:color w:val="231F20"/>
          <w:sz w:val="16"/>
          <w:lang w:val="pl-PL"/>
        </w:rPr>
        <w:t>Projektowanie socjalne. Metoda kształcenia do działań złożonych</w:t>
      </w:r>
      <w:r w:rsidR="00F27725">
        <w:rPr>
          <w:rFonts w:ascii="Arial" w:hAnsi="Arial"/>
          <w:color w:val="231F20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97</w:t>
      </w:r>
    </w:p>
    <w:p w:rsidR="00456AD2" w:rsidRPr="00112082" w:rsidRDefault="00112082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3.4.2. </w:t>
      </w:r>
      <w:r w:rsidR="00520FFC" w:rsidRPr="00112082">
        <w:rPr>
          <w:rFonts w:ascii="Arial" w:hAnsi="Arial"/>
          <w:color w:val="231F20"/>
          <w:sz w:val="16"/>
          <w:lang w:val="pl-PL"/>
        </w:rPr>
        <w:t>Potrzeba kształcenia medycznego pedagogów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104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3.5.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Kształcenie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do profesji medycznych. Przygotowanie do działania społeczno-wychowawczego 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106</w:t>
      </w:r>
    </w:p>
    <w:p w:rsidR="00456AD2" w:rsidRPr="00112082" w:rsidRDefault="00112082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3.5.1. </w:t>
      </w:r>
      <w:r w:rsidR="00520FFC" w:rsidRPr="00112082">
        <w:rPr>
          <w:rFonts w:ascii="Arial" w:hAnsi="Arial"/>
          <w:color w:val="231F20"/>
          <w:sz w:val="16"/>
          <w:lang w:val="pl-PL"/>
        </w:rPr>
        <w:t>Przedmioty</w:t>
      </w:r>
      <w:r w:rsidR="00520FFC" w:rsidRPr="00112082">
        <w:rPr>
          <w:rFonts w:ascii="Arial"/>
          <w:color w:val="231F20"/>
          <w:sz w:val="16"/>
          <w:lang w:val="pl-PL"/>
        </w:rPr>
        <w:t xml:space="preserve"> niemedyczne w ofercie dydaktycznej </w:t>
      </w:r>
      <w:r w:rsidR="00520FFC" w:rsidRPr="00112082">
        <w:rPr>
          <w:rFonts w:ascii="Arial"/>
          <w:color w:val="231F20"/>
          <w:sz w:val="16"/>
          <w:lang w:val="pl-PL"/>
        </w:rPr>
        <w:tab/>
      </w:r>
      <w:r w:rsidR="00520FFC" w:rsidRPr="00112082">
        <w:rPr>
          <w:rFonts w:ascii="Arial"/>
          <w:color w:val="231F20"/>
          <w:spacing w:val="-4"/>
          <w:sz w:val="16"/>
          <w:lang w:val="pl-PL"/>
        </w:rPr>
        <w:t>113</w:t>
      </w:r>
    </w:p>
    <w:p w:rsidR="00456AD2" w:rsidRPr="00112082" w:rsidRDefault="00520FFC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3.5.2.</w:t>
      </w:r>
      <w:r w:rsidRPr="00112082">
        <w:rPr>
          <w:rFonts w:ascii="Arial" w:hAnsi="Arial"/>
          <w:color w:val="231F20"/>
          <w:spacing w:val="8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 xml:space="preserve">Wymiary integracji w </w:t>
      </w:r>
      <w:r w:rsidRPr="00112082">
        <w:rPr>
          <w:rFonts w:ascii="Arial" w:hAnsi="Arial"/>
          <w:color w:val="231F20"/>
          <w:spacing w:val="1"/>
          <w:sz w:val="16"/>
          <w:lang w:val="pl-PL"/>
        </w:rPr>
        <w:t>kształceniu</w:t>
      </w:r>
      <w:r w:rsidRPr="00112082">
        <w:rPr>
          <w:rFonts w:ascii="Arial" w:hAnsi="Arial"/>
          <w:color w:val="231F20"/>
          <w:sz w:val="16"/>
          <w:lang w:val="pl-PL"/>
        </w:rPr>
        <w:tab/>
      </w:r>
      <w:r w:rsidRPr="00112082">
        <w:rPr>
          <w:rFonts w:ascii="Arial" w:hAnsi="Arial"/>
          <w:color w:val="231F20"/>
          <w:spacing w:val="-4"/>
          <w:sz w:val="16"/>
          <w:lang w:val="pl-PL"/>
        </w:rPr>
        <w:t>119</w:t>
      </w:r>
    </w:p>
    <w:p w:rsidR="00456AD2" w:rsidRPr="00112082" w:rsidRDefault="00520FFC" w:rsidP="00112082">
      <w:pPr>
        <w:ind w:left="677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3.5.3.</w:t>
      </w:r>
      <w:r w:rsidRPr="00112082">
        <w:rPr>
          <w:rFonts w:ascii="Arial" w:eastAsia="Arial" w:hAnsi="Arial" w:cs="Arial"/>
          <w:color w:val="231F20"/>
          <w:spacing w:val="8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„Socjalizowanie” przyszłych lekarzy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124</w:t>
      </w:r>
    </w:p>
    <w:p w:rsidR="00112082" w:rsidRDefault="00112082" w:rsidP="00112082">
      <w:pPr>
        <w:ind w:left="110"/>
        <w:rPr>
          <w:rFonts w:ascii="Arial" w:hAnsi="Arial"/>
          <w:b/>
          <w:color w:val="231F20"/>
          <w:sz w:val="16"/>
          <w:lang w:val="pl-PL"/>
        </w:rPr>
      </w:pP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b/>
          <w:color w:val="231F20"/>
          <w:sz w:val="16"/>
          <w:lang w:val="pl-PL"/>
        </w:rPr>
        <w:t>Rozdział</w:t>
      </w:r>
      <w:r w:rsidRPr="00112082">
        <w:rPr>
          <w:rFonts w:ascii="Arial" w:hAnsi="Arial"/>
          <w:b/>
          <w:color w:val="231F20"/>
          <w:spacing w:val="27"/>
          <w:sz w:val="16"/>
          <w:lang w:val="pl-PL"/>
        </w:rPr>
        <w:t xml:space="preserve"> </w:t>
      </w:r>
      <w:r w:rsidRPr="00112082">
        <w:rPr>
          <w:rFonts w:ascii="Arial" w:hAnsi="Arial"/>
          <w:b/>
          <w:color w:val="231F20"/>
          <w:spacing w:val="-5"/>
          <w:sz w:val="16"/>
          <w:lang w:val="pl-PL"/>
        </w:rPr>
        <w:t>IV.</w:t>
      </w:r>
      <w:r w:rsidRPr="00112082">
        <w:rPr>
          <w:rFonts w:ascii="Arial" w:hAnsi="Arial"/>
          <w:b/>
          <w:color w:val="231F20"/>
          <w:spacing w:val="27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Wspólne</w:t>
      </w:r>
      <w:r w:rsidRPr="00112082">
        <w:rPr>
          <w:rFonts w:ascii="Arial" w:hAnsi="Arial"/>
          <w:color w:val="231F20"/>
          <w:spacing w:val="28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pola</w:t>
      </w:r>
      <w:r w:rsidRPr="00112082">
        <w:rPr>
          <w:rFonts w:ascii="Arial" w:hAnsi="Arial"/>
          <w:color w:val="231F20"/>
          <w:spacing w:val="27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działania</w:t>
      </w:r>
      <w:r w:rsidRPr="00112082">
        <w:rPr>
          <w:rFonts w:ascii="Arial" w:hAnsi="Arial"/>
          <w:color w:val="231F20"/>
          <w:spacing w:val="28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reprezentantów</w:t>
      </w:r>
      <w:r w:rsidRPr="00112082">
        <w:rPr>
          <w:rFonts w:ascii="Arial" w:hAnsi="Arial"/>
          <w:color w:val="231F20"/>
          <w:spacing w:val="27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profesji</w:t>
      </w:r>
      <w:r w:rsidRPr="00112082">
        <w:rPr>
          <w:rFonts w:ascii="Arial" w:hAnsi="Arial"/>
          <w:color w:val="231F20"/>
          <w:spacing w:val="28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społecznych</w:t>
      </w:r>
      <w:r w:rsidRPr="00112082">
        <w:rPr>
          <w:rFonts w:ascii="Arial" w:hAnsi="Arial"/>
          <w:color w:val="231F20"/>
          <w:spacing w:val="27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i</w:t>
      </w:r>
      <w:r w:rsidRPr="00112082">
        <w:rPr>
          <w:rFonts w:ascii="Arial" w:hAnsi="Arial"/>
          <w:color w:val="231F20"/>
          <w:spacing w:val="28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medycznych</w:t>
      </w:r>
      <w:r w:rsidR="00112082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– egzemplifikacja współistnienia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127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4.1.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Oczekiwania</w:t>
      </w:r>
      <w:r w:rsidR="00520FFC"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pacjentów – zachowania lekarzy </w:t>
      </w:r>
      <w:r w:rsidR="00520FFC"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130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4.2.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Wspólne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pola działania związane z </w:t>
      </w:r>
      <w:r w:rsidR="00520FFC" w:rsidRPr="00112082">
        <w:rPr>
          <w:rFonts w:ascii="Arial" w:hAnsi="Arial"/>
          <w:color w:val="231F20"/>
          <w:spacing w:val="2"/>
          <w:sz w:val="16"/>
          <w:lang w:val="pl-PL"/>
        </w:rPr>
        <w:t>chorobą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134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4.3.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Wspólne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pola działania związane ze zdrowiem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140</w:t>
      </w:r>
    </w:p>
    <w:p w:rsidR="00456AD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4.4.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Wielcy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reprezentanci działania interdyscyplinarnego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148</w:t>
      </w:r>
    </w:p>
    <w:p w:rsidR="00F27725" w:rsidRPr="00112082" w:rsidRDefault="00F27725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Rozdział</w:t>
      </w:r>
      <w:r w:rsidRPr="00112082">
        <w:rPr>
          <w:rFonts w:ascii="Arial" w:eastAsia="Arial" w:hAnsi="Arial" w:cs="Arial"/>
          <w:b/>
          <w:bCs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pacing w:val="-8"/>
          <w:sz w:val="16"/>
          <w:szCs w:val="16"/>
          <w:lang w:val="pl-PL"/>
        </w:rPr>
        <w:t>V.</w:t>
      </w:r>
      <w:r w:rsidRPr="00112082">
        <w:rPr>
          <w:rFonts w:ascii="Arial" w:eastAsia="Arial" w:hAnsi="Arial" w:cs="Arial"/>
          <w:b/>
          <w:bCs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Podejście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w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kształceniu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–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nadawanie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znaczeń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i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konstruowanie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sensu</w:t>
      </w:r>
      <w:r w:rsidRPr="00112082">
        <w:rPr>
          <w:rFonts w:ascii="Arial" w:eastAsia="Arial" w:hAnsi="Arial" w:cs="Arial"/>
          <w:color w:val="231F20"/>
          <w:spacing w:val="15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>współ</w:t>
      </w:r>
      <w:r w:rsidRPr="00112082">
        <w:rPr>
          <w:rFonts w:ascii="Arial" w:hAnsi="Arial"/>
          <w:color w:val="231F20"/>
          <w:sz w:val="16"/>
          <w:lang w:val="pl-PL"/>
        </w:rPr>
        <w:t xml:space="preserve">działania </w:t>
      </w:r>
      <w:r w:rsidRPr="00112082">
        <w:rPr>
          <w:rFonts w:ascii="Arial" w:hAnsi="Arial"/>
          <w:color w:val="231F20"/>
          <w:sz w:val="16"/>
          <w:lang w:val="pl-PL"/>
        </w:rPr>
        <w:tab/>
        <w:t>159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5.1.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Nadawanie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znaczeń w sytuacjach kształcenia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163</w:t>
      </w:r>
    </w:p>
    <w:p w:rsidR="00456AD2" w:rsidRPr="00112082" w:rsidRDefault="00112082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231F20"/>
          <w:spacing w:val="-2"/>
          <w:sz w:val="16"/>
          <w:lang w:val="pl-PL"/>
        </w:rPr>
        <w:t xml:space="preserve">5.2. </w:t>
      </w:r>
      <w:r w:rsidR="00520FFC" w:rsidRPr="00112082">
        <w:rPr>
          <w:rFonts w:ascii="Arial" w:hAnsi="Arial"/>
          <w:color w:val="231F20"/>
          <w:spacing w:val="-2"/>
          <w:sz w:val="16"/>
          <w:lang w:val="pl-PL"/>
        </w:rPr>
        <w:t>Udział</w:t>
      </w:r>
      <w:r w:rsidR="00520FFC" w:rsidRPr="00112082">
        <w:rPr>
          <w:rFonts w:ascii="Arial" w:hAnsi="Arial"/>
          <w:color w:val="231F20"/>
          <w:sz w:val="16"/>
          <w:lang w:val="pl-PL"/>
        </w:rPr>
        <w:t xml:space="preserve"> nauczyciela w konstruowaniu sensu współdziałania przez studenta</w:t>
      </w:r>
      <w:r>
        <w:rPr>
          <w:rFonts w:ascii="Arial" w:hAnsi="Arial"/>
          <w:color w:val="231F20"/>
          <w:sz w:val="16"/>
          <w:lang w:val="pl-PL"/>
        </w:rPr>
        <w:t xml:space="preserve"> </w:t>
      </w:r>
      <w:r w:rsidR="00520FFC" w:rsidRPr="00112082">
        <w:rPr>
          <w:rFonts w:ascii="Arial" w:hAnsi="Arial"/>
          <w:color w:val="231F20"/>
          <w:sz w:val="16"/>
          <w:lang w:val="pl-PL"/>
        </w:rPr>
        <w:tab/>
        <w:t>170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/>
          <w:color w:val="231F20"/>
          <w:sz w:val="16"/>
          <w:lang w:val="pl-PL"/>
        </w:rPr>
        <w:t>5.3.</w:t>
      </w:r>
      <w:r w:rsidR="00112082">
        <w:rPr>
          <w:rFonts w:asci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pacing w:val="-2"/>
          <w:sz w:val="16"/>
          <w:lang w:val="pl-PL"/>
        </w:rPr>
        <w:t>Przygotowanie</w:t>
      </w:r>
      <w:r w:rsidRPr="00112082">
        <w:rPr>
          <w:rFonts w:ascii="Arial"/>
          <w:color w:val="231F20"/>
          <w:sz w:val="16"/>
          <w:lang w:val="pl-PL"/>
        </w:rPr>
        <w:t xml:space="preserve"> nauczycieli</w:t>
      </w:r>
      <w:bookmarkStart w:id="0" w:name="_GoBack"/>
      <w:bookmarkEnd w:id="0"/>
      <w:r w:rsidRPr="00112082">
        <w:rPr>
          <w:rFonts w:ascii="Arial"/>
          <w:color w:val="231F20"/>
          <w:sz w:val="16"/>
          <w:lang w:val="pl-PL"/>
        </w:rPr>
        <w:tab/>
        <w:t>175</w:t>
      </w:r>
    </w:p>
    <w:p w:rsidR="00112082" w:rsidRDefault="00112082" w:rsidP="00112082">
      <w:pPr>
        <w:ind w:left="110"/>
        <w:rPr>
          <w:rFonts w:ascii="Arial" w:hAnsi="Arial"/>
          <w:b/>
          <w:color w:val="231F20"/>
          <w:sz w:val="16"/>
          <w:lang w:val="pl-PL"/>
        </w:rPr>
      </w:pP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b/>
          <w:color w:val="231F20"/>
          <w:sz w:val="16"/>
          <w:lang w:val="pl-PL"/>
        </w:rPr>
        <w:t>Rozdział VI.</w:t>
      </w:r>
      <w:r w:rsidRPr="00112082">
        <w:rPr>
          <w:rFonts w:ascii="Arial" w:hAnsi="Arial"/>
          <w:b/>
          <w:color w:val="231F20"/>
          <w:spacing w:val="-1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>Przeszkody w tworzeniu atmosfery do współdziałania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ab/>
        <w:t>181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6.1.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pacing w:val="-2"/>
          <w:sz w:val="16"/>
          <w:lang w:val="pl-PL"/>
        </w:rPr>
        <w:t>Przeszkody</w:t>
      </w:r>
      <w:r w:rsidRPr="00112082">
        <w:rPr>
          <w:rFonts w:ascii="Arial" w:hAnsi="Arial"/>
          <w:color w:val="231F20"/>
          <w:sz w:val="16"/>
          <w:lang w:val="pl-PL"/>
        </w:rPr>
        <w:t xml:space="preserve"> tkwiące w kształceniu</w:t>
      </w:r>
      <w:r w:rsidRPr="00112082">
        <w:rPr>
          <w:rFonts w:ascii="Arial" w:hAnsi="Arial"/>
          <w:color w:val="231F20"/>
          <w:sz w:val="16"/>
          <w:lang w:val="pl-PL"/>
        </w:rPr>
        <w:tab/>
        <w:t>182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6.2.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pacing w:val="-1"/>
          <w:sz w:val="16"/>
          <w:lang w:val="pl-PL"/>
        </w:rPr>
        <w:t>Trudności</w:t>
      </w:r>
      <w:r w:rsidRPr="00112082">
        <w:rPr>
          <w:rFonts w:ascii="Arial" w:hAnsi="Arial"/>
          <w:color w:val="231F20"/>
          <w:sz w:val="16"/>
          <w:lang w:val="pl-PL"/>
        </w:rPr>
        <w:t xml:space="preserve"> ze stowarzyszaniem się wykładowców</w:t>
      </w:r>
      <w:r w:rsidRPr="00112082">
        <w:rPr>
          <w:rFonts w:ascii="Arial" w:hAnsi="Arial"/>
          <w:color w:val="231F20"/>
          <w:sz w:val="16"/>
          <w:lang w:val="pl-PL"/>
        </w:rPr>
        <w:tab/>
        <w:t>195</w:t>
      </w:r>
    </w:p>
    <w:p w:rsidR="00456AD2" w:rsidRPr="00112082" w:rsidRDefault="00520FFC" w:rsidP="00112082">
      <w:pPr>
        <w:ind w:left="28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color w:val="231F20"/>
          <w:sz w:val="16"/>
          <w:lang w:val="pl-PL"/>
        </w:rPr>
        <w:t>6.3.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pacing w:val="-1"/>
          <w:sz w:val="16"/>
          <w:lang w:val="pl-PL"/>
        </w:rPr>
        <w:t>Rozchwianie</w:t>
      </w:r>
      <w:r w:rsidRPr="00112082">
        <w:rPr>
          <w:rFonts w:ascii="Arial" w:hAnsi="Arial"/>
          <w:color w:val="231F20"/>
          <w:sz w:val="16"/>
          <w:lang w:val="pl-PL"/>
        </w:rPr>
        <w:t xml:space="preserve"> w świecie wartości</w:t>
      </w:r>
      <w:r w:rsid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ab/>
        <w:t>201</w:t>
      </w:r>
    </w:p>
    <w:p w:rsidR="00112082" w:rsidRDefault="00112082" w:rsidP="00112082">
      <w:pPr>
        <w:ind w:left="110"/>
        <w:rPr>
          <w:rFonts w:ascii="Arial" w:hAnsi="Arial"/>
          <w:b/>
          <w:color w:val="231F20"/>
          <w:sz w:val="16"/>
          <w:lang w:val="pl-PL"/>
        </w:rPr>
      </w:pP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hAnsi="Arial"/>
          <w:b/>
          <w:color w:val="231F20"/>
          <w:sz w:val="16"/>
          <w:lang w:val="pl-PL"/>
        </w:rPr>
        <w:t>Zakończenie</w:t>
      </w:r>
      <w:r w:rsidRPr="00112082">
        <w:rPr>
          <w:rFonts w:ascii="Arial" w:hAnsi="Arial"/>
          <w:color w:val="231F20"/>
          <w:sz w:val="16"/>
          <w:lang w:val="pl-PL"/>
        </w:rPr>
        <w:t xml:space="preserve"> </w:t>
      </w:r>
      <w:r w:rsidRPr="00112082">
        <w:rPr>
          <w:rFonts w:ascii="Arial" w:hAnsi="Arial"/>
          <w:color w:val="231F20"/>
          <w:sz w:val="16"/>
          <w:lang w:val="pl-PL"/>
        </w:rPr>
        <w:tab/>
        <w:t>205</w:t>
      </w: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/>
          <w:b/>
          <w:color w:val="231F20"/>
          <w:sz w:val="16"/>
          <w:lang w:val="pl-PL"/>
        </w:rPr>
        <w:t>Bibliografia</w:t>
      </w:r>
      <w:r w:rsidRPr="00112082">
        <w:rPr>
          <w:rFonts w:ascii="Arial"/>
          <w:color w:val="231F20"/>
          <w:sz w:val="16"/>
          <w:lang w:val="pl-PL"/>
        </w:rPr>
        <w:tab/>
      </w:r>
      <w:r w:rsidRPr="00112082">
        <w:rPr>
          <w:rFonts w:ascii="Arial"/>
          <w:color w:val="231F20"/>
          <w:spacing w:val="-8"/>
          <w:sz w:val="16"/>
          <w:lang w:val="pl-PL"/>
        </w:rPr>
        <w:t>211</w:t>
      </w: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Co-Activity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in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the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Field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of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Social</w:t>
      </w:r>
      <w:proofErr w:type="spellEnd"/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and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Medical</w:t>
      </w:r>
      <w:proofErr w:type="spellEnd"/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Professions</w:t>
      </w:r>
      <w:proofErr w:type="spellEnd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.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Preparation</w:t>
      </w:r>
      <w:proofErr w:type="spellEnd"/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–</w:t>
      </w:r>
      <w:r w:rsidRPr="00112082">
        <w:rPr>
          <w:rFonts w:ascii="Arial" w:eastAsia="Arial" w:hAnsi="Arial" w:cs="Arial"/>
          <w:b/>
          <w:bCs/>
          <w:color w:val="231F20"/>
          <w:spacing w:val="9"/>
          <w:sz w:val="16"/>
          <w:szCs w:val="16"/>
          <w:lang w:val="pl-PL"/>
        </w:rPr>
        <w:t xml:space="preserve"> 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Conditions</w:t>
      </w:r>
      <w:proofErr w:type="spellEnd"/>
      <w:r w:rsidR="00112082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 xml:space="preserve">– 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Opportunities</w:t>
      </w:r>
      <w:proofErr w:type="spellEnd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 xml:space="preserve"> (</w:t>
      </w:r>
      <w:proofErr w:type="spellStart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Summary</w:t>
      </w:r>
      <w:proofErr w:type="spellEnd"/>
      <w:r w:rsidRPr="00112082">
        <w:rPr>
          <w:rFonts w:ascii="Arial" w:eastAsia="Arial" w:hAnsi="Arial" w:cs="Arial"/>
          <w:b/>
          <w:bCs/>
          <w:color w:val="231F20"/>
          <w:sz w:val="16"/>
          <w:szCs w:val="16"/>
          <w:lang w:val="pl-PL"/>
        </w:rPr>
        <w:t>)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 xml:space="preserve"> </w:t>
      </w:r>
      <w:r w:rsidRPr="00112082">
        <w:rPr>
          <w:rFonts w:ascii="Arial" w:eastAsia="Arial" w:hAnsi="Arial" w:cs="Arial"/>
          <w:color w:val="231F20"/>
          <w:sz w:val="16"/>
          <w:szCs w:val="16"/>
          <w:lang w:val="pl-PL"/>
        </w:rPr>
        <w:tab/>
        <w:t>223</w:t>
      </w:r>
    </w:p>
    <w:p w:rsidR="00456AD2" w:rsidRPr="00112082" w:rsidRDefault="00520FFC" w:rsidP="00112082">
      <w:pPr>
        <w:ind w:left="110"/>
        <w:rPr>
          <w:rFonts w:ascii="Arial" w:eastAsia="Arial" w:hAnsi="Arial" w:cs="Arial"/>
          <w:sz w:val="16"/>
          <w:szCs w:val="16"/>
          <w:lang w:val="pl-PL"/>
        </w:rPr>
      </w:pPr>
      <w:r w:rsidRPr="00112082">
        <w:rPr>
          <w:rFonts w:ascii="Arial"/>
          <w:b/>
          <w:color w:val="231F20"/>
          <w:sz w:val="16"/>
          <w:lang w:val="pl-PL"/>
        </w:rPr>
        <w:t>Od Redakcji</w:t>
      </w:r>
      <w:r w:rsidR="00112082">
        <w:rPr>
          <w:rFonts w:ascii="Arial"/>
          <w:color w:val="231F20"/>
          <w:sz w:val="16"/>
          <w:lang w:val="pl-PL"/>
        </w:rPr>
        <w:t xml:space="preserve"> </w:t>
      </w:r>
      <w:r w:rsidRPr="00112082">
        <w:rPr>
          <w:rFonts w:ascii="Arial"/>
          <w:color w:val="231F20"/>
          <w:sz w:val="16"/>
          <w:lang w:val="pl-PL"/>
        </w:rPr>
        <w:tab/>
        <w:t>227</w:t>
      </w:r>
    </w:p>
    <w:sectPr w:rsidR="00456AD2" w:rsidRPr="00112082">
      <w:pgSz w:w="9530" w:h="13610"/>
      <w:pgMar w:top="110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04F"/>
    <w:multiLevelType w:val="multilevel"/>
    <w:tmpl w:val="A2FAD9A8"/>
    <w:lvl w:ilvl="0">
      <w:start w:val="5"/>
      <w:numFmt w:val="decimal"/>
      <w:lvlText w:val="%1"/>
      <w:lvlJc w:val="left"/>
      <w:pPr>
        <w:ind w:left="67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97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1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9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397"/>
      </w:pPr>
      <w:rPr>
        <w:rFonts w:hint="default"/>
      </w:rPr>
    </w:lvl>
  </w:abstractNum>
  <w:abstractNum w:abstractNumId="1">
    <w:nsid w:val="54FA4C2A"/>
    <w:multiLevelType w:val="multilevel"/>
    <w:tmpl w:val="8E84EAAC"/>
    <w:lvl w:ilvl="0">
      <w:start w:val="3"/>
      <w:numFmt w:val="decimal"/>
      <w:lvlText w:val="%1"/>
      <w:lvlJc w:val="left"/>
      <w:pPr>
        <w:ind w:left="677" w:hanging="39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397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131" w:hanging="454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17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6" w:hanging="454"/>
      </w:pPr>
      <w:rPr>
        <w:rFonts w:hint="default"/>
      </w:rPr>
    </w:lvl>
  </w:abstractNum>
  <w:abstractNum w:abstractNumId="2">
    <w:nsid w:val="67004844"/>
    <w:multiLevelType w:val="multilevel"/>
    <w:tmpl w:val="81B21094"/>
    <w:lvl w:ilvl="0">
      <w:start w:val="1"/>
      <w:numFmt w:val="decimal"/>
      <w:lvlText w:val="%1"/>
      <w:lvlJc w:val="left"/>
      <w:pPr>
        <w:ind w:left="67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97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131" w:hanging="454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251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454"/>
      </w:pPr>
      <w:rPr>
        <w:rFonts w:hint="default"/>
      </w:rPr>
    </w:lvl>
  </w:abstractNum>
  <w:abstractNum w:abstractNumId="3">
    <w:nsid w:val="77DD3180"/>
    <w:multiLevelType w:val="multilevel"/>
    <w:tmpl w:val="485C4A86"/>
    <w:lvl w:ilvl="0">
      <w:start w:val="4"/>
      <w:numFmt w:val="decimal"/>
      <w:lvlText w:val="%1"/>
      <w:lvlJc w:val="left"/>
      <w:pPr>
        <w:ind w:left="67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97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201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9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7" w:hanging="39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6AD2"/>
    <w:rsid w:val="00112082"/>
    <w:rsid w:val="00456AD2"/>
    <w:rsid w:val="00520FFC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9"/>
    </w:pPr>
    <w:rPr>
      <w:rFonts w:ascii="Arial" w:eastAsia="Arial" w:hAnsi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2018-04-25T10:02:00Z</dcterms:created>
  <dcterms:modified xsi:type="dcterms:W3CDTF">2018-04-25T08:24:00Z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