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3" w:rsidRPr="00C82999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C82999">
        <w:rPr>
          <w:rFonts w:ascii="Calibri" w:hAnsi="Calibri" w:cs="Calibri"/>
          <w:b/>
          <w:sz w:val="22"/>
          <w:szCs w:val="22"/>
        </w:rPr>
        <w:t>Wstęp</w:t>
      </w:r>
      <w:r w:rsidR="00C82999" w:rsidRPr="00C82999">
        <w:rPr>
          <w:rFonts w:ascii="Calibri" w:hAnsi="Calibri" w:cs="Calibri"/>
          <w:b/>
          <w:sz w:val="22"/>
          <w:szCs w:val="22"/>
        </w:rPr>
        <w:tab/>
        <w:t>11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</w:p>
    <w:p w:rsid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b/>
          <w:sz w:val="22"/>
          <w:szCs w:val="22"/>
        </w:rPr>
        <w:t>Rozdział 1</w:t>
      </w:r>
      <w:r w:rsidR="00C82999" w:rsidRPr="00C82999">
        <w:rPr>
          <w:rFonts w:ascii="Calibri" w:hAnsi="Calibri" w:cs="Calibri"/>
          <w:b/>
          <w:sz w:val="22"/>
          <w:szCs w:val="22"/>
        </w:rPr>
        <w:t xml:space="preserve">. </w:t>
      </w:r>
      <w:r w:rsidRPr="00C82999">
        <w:rPr>
          <w:rFonts w:ascii="Calibri" w:hAnsi="Calibri" w:cs="Calibri"/>
          <w:b/>
          <w:sz w:val="22"/>
          <w:szCs w:val="22"/>
        </w:rPr>
        <w:t>Istota niezadowolenia i bojkotu konsumenckiego</w:t>
      </w:r>
      <w:r w:rsidR="00C82999" w:rsidRPr="00C82999">
        <w:rPr>
          <w:rFonts w:ascii="Calibri" w:hAnsi="Calibri" w:cs="Calibri"/>
          <w:b/>
          <w:sz w:val="22"/>
          <w:szCs w:val="22"/>
        </w:rPr>
        <w:t xml:space="preserve"> </w:t>
      </w:r>
      <w:r w:rsidR="00C82999" w:rsidRPr="00C82999">
        <w:rPr>
          <w:rFonts w:ascii="Calibri" w:hAnsi="Calibri" w:cs="Calibri"/>
          <w:b/>
          <w:sz w:val="22"/>
          <w:szCs w:val="22"/>
        </w:rPr>
        <w:tab/>
      </w:r>
      <w:r w:rsidRPr="00C82999">
        <w:rPr>
          <w:rFonts w:ascii="Calibri" w:hAnsi="Calibri" w:cs="Calibri"/>
          <w:b/>
          <w:sz w:val="22"/>
          <w:szCs w:val="22"/>
        </w:rPr>
        <w:t>17</w:t>
      </w:r>
      <w:r w:rsidRPr="00C82999">
        <w:rPr>
          <w:rFonts w:ascii="Calibri" w:hAnsi="Calibri" w:cs="Calibri"/>
          <w:b/>
          <w:sz w:val="22"/>
          <w:szCs w:val="22"/>
        </w:rPr>
        <w:cr/>
      </w:r>
      <w:r w:rsidRPr="00C82999">
        <w:rPr>
          <w:rFonts w:ascii="Calibri" w:hAnsi="Calibri" w:cs="Calibri"/>
          <w:sz w:val="22"/>
          <w:szCs w:val="22"/>
        </w:rPr>
        <w:t>1.1. Zjawisko niezadowolenia konsumenckiego</w:t>
      </w:r>
      <w:r w:rsidR="00C82999">
        <w:rPr>
          <w:rFonts w:ascii="Calibri" w:hAnsi="Calibri" w:cs="Calibri"/>
          <w:sz w:val="22"/>
          <w:szCs w:val="22"/>
        </w:rPr>
        <w:t xml:space="preserve"> </w:t>
      </w:r>
      <w:r w:rsidR="00C82999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17</w:t>
      </w:r>
      <w:r w:rsidRPr="00C82999">
        <w:rPr>
          <w:rFonts w:ascii="Calibri" w:hAnsi="Calibri" w:cs="Calibri"/>
          <w:sz w:val="22"/>
          <w:szCs w:val="22"/>
        </w:rPr>
        <w:cr/>
        <w:t>1.2. Mechanizmy i natura niezadowolenia konsumenckiego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23</w:t>
      </w:r>
    </w:p>
    <w:p w:rsidR="00C82999" w:rsidRDefault="00C73883" w:rsidP="00295F2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1.2.1. Uwarunkowania i przyczyny niezadowolenia konsumenckiego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27</w:t>
      </w:r>
    </w:p>
    <w:p w:rsidR="00C82999" w:rsidRDefault="00C73883" w:rsidP="00295F2A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1.2.1.1. Ujęcie podmiotowe i przedmiotowe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29</w:t>
      </w:r>
    </w:p>
    <w:p w:rsidR="00C82999" w:rsidRDefault="00C73883" w:rsidP="00295F2A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1.2.1.2. Ujęcie procesowe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36</w:t>
      </w:r>
    </w:p>
    <w:p w:rsidR="00295F2A" w:rsidRDefault="00C73883" w:rsidP="00295F2A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1.2.1.3. Niezadowolenie użytkowe i normatywne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39</w:t>
      </w:r>
    </w:p>
    <w:p w:rsidR="00C82999" w:rsidRDefault="00C73883" w:rsidP="00295F2A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1.3. Formy wyrażania niezadowolenia przez konsumentów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42</w:t>
      </w:r>
    </w:p>
    <w:p w:rsid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1.4. Konsekwencje niezadowolenia konsumentów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49</w:t>
      </w:r>
    </w:p>
    <w:p w:rsidR="00295F2A" w:rsidRDefault="00C73883" w:rsidP="00295F2A">
      <w:pPr>
        <w:pStyle w:val="Zwykytekst"/>
        <w:ind w:left="426" w:hanging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1.5. Zjawisko bojkotu konsumenckiego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42</w:t>
      </w:r>
      <w:r w:rsidRPr="00C82999">
        <w:rPr>
          <w:rFonts w:ascii="Calibri" w:hAnsi="Calibri" w:cs="Calibri"/>
          <w:sz w:val="22"/>
          <w:szCs w:val="22"/>
        </w:rPr>
        <w:cr/>
        <w:t>1.5.1. Definicja i charakterystyka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53</w:t>
      </w:r>
      <w:r w:rsidRPr="00C82999">
        <w:rPr>
          <w:rFonts w:ascii="Calibri" w:hAnsi="Calibri" w:cs="Calibri"/>
          <w:sz w:val="22"/>
          <w:szCs w:val="22"/>
        </w:rPr>
        <w:cr/>
        <w:t>1.5.2. Geneza działań bojkotowych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57</w:t>
      </w:r>
    </w:p>
    <w:p w:rsidR="00C82999" w:rsidRDefault="00C73883" w:rsidP="00295F2A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1.6. Podsumowanie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66</w:t>
      </w:r>
    </w:p>
    <w:p w:rsidR="00C82999" w:rsidRPr="00E41E81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cr/>
      </w:r>
      <w:r w:rsidRPr="00E41E81">
        <w:rPr>
          <w:rFonts w:ascii="Calibri" w:hAnsi="Calibri" w:cs="Calibri"/>
          <w:b/>
          <w:sz w:val="22"/>
          <w:szCs w:val="22"/>
        </w:rPr>
        <w:t>Rozdział 2</w:t>
      </w:r>
      <w:r w:rsidR="00E41E81" w:rsidRPr="00E41E81">
        <w:rPr>
          <w:rFonts w:ascii="Calibri" w:hAnsi="Calibri" w:cs="Calibri"/>
          <w:b/>
          <w:sz w:val="22"/>
          <w:szCs w:val="22"/>
        </w:rPr>
        <w:t xml:space="preserve">. </w:t>
      </w:r>
      <w:r w:rsidRPr="00E41E81">
        <w:rPr>
          <w:rFonts w:ascii="Calibri" w:hAnsi="Calibri" w:cs="Calibri"/>
          <w:b/>
          <w:sz w:val="22"/>
          <w:szCs w:val="22"/>
        </w:rPr>
        <w:t>Uczestnicy, cele i kategorie bojkotów konsumenckich</w:t>
      </w:r>
      <w:r w:rsidR="00E41E81" w:rsidRPr="00E41E81">
        <w:rPr>
          <w:rFonts w:ascii="Calibri" w:hAnsi="Calibri" w:cs="Calibri"/>
          <w:b/>
          <w:sz w:val="22"/>
          <w:szCs w:val="22"/>
        </w:rPr>
        <w:t xml:space="preserve"> </w:t>
      </w:r>
      <w:r w:rsidR="00E41E81" w:rsidRPr="00E41E81">
        <w:rPr>
          <w:rFonts w:ascii="Calibri" w:hAnsi="Calibri" w:cs="Calibri"/>
          <w:b/>
          <w:sz w:val="22"/>
          <w:szCs w:val="22"/>
        </w:rPr>
        <w:tab/>
      </w:r>
      <w:r w:rsidRPr="00E41E81">
        <w:rPr>
          <w:rFonts w:ascii="Calibri" w:hAnsi="Calibri" w:cs="Calibri"/>
          <w:b/>
          <w:sz w:val="22"/>
          <w:szCs w:val="22"/>
        </w:rPr>
        <w:t>69</w:t>
      </w:r>
    </w:p>
    <w:p w:rsid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2.1. Uczestnicy bojkotu konsumenckiego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69</w:t>
      </w:r>
    </w:p>
    <w:p w:rsid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2.2. Cele bojkotu konsumenckiego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74</w:t>
      </w:r>
    </w:p>
    <w:p w:rsidR="00295F2A" w:rsidRDefault="00C73883" w:rsidP="00295F2A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2.3. Kategoryzacje bojkotów konsumenckich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77</w:t>
      </w:r>
    </w:p>
    <w:p w:rsidR="00C82999" w:rsidRDefault="00C73883" w:rsidP="00295F2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2.3.1. Bojkot państwowy i prywatny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78</w:t>
      </w:r>
      <w:r w:rsidRPr="00C82999">
        <w:rPr>
          <w:rFonts w:ascii="Calibri" w:hAnsi="Calibri" w:cs="Calibri"/>
          <w:sz w:val="22"/>
          <w:szCs w:val="22"/>
        </w:rPr>
        <w:cr/>
        <w:t>2.3.2. Bojkot jedno- i wielopodmiotowy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86</w:t>
      </w:r>
    </w:p>
    <w:p w:rsidR="00C82999" w:rsidRDefault="00C73883" w:rsidP="00295F2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 xml:space="preserve">2.3.3. Bojkot </w:t>
      </w:r>
      <w:proofErr w:type="spellStart"/>
      <w:r w:rsidRPr="00C82999">
        <w:rPr>
          <w:rFonts w:ascii="Calibri" w:hAnsi="Calibri" w:cs="Calibri"/>
          <w:sz w:val="22"/>
          <w:szCs w:val="22"/>
        </w:rPr>
        <w:t>reorientacyjny</w:t>
      </w:r>
      <w:proofErr w:type="spellEnd"/>
      <w:r w:rsidRPr="00C82999">
        <w:rPr>
          <w:rFonts w:ascii="Calibri" w:hAnsi="Calibri" w:cs="Calibri"/>
          <w:sz w:val="22"/>
          <w:szCs w:val="22"/>
        </w:rPr>
        <w:t xml:space="preserve"> i regresyjny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89</w:t>
      </w:r>
      <w:r w:rsidRPr="00C82999">
        <w:rPr>
          <w:rFonts w:ascii="Calibri" w:hAnsi="Calibri" w:cs="Calibri"/>
          <w:sz w:val="22"/>
          <w:szCs w:val="22"/>
        </w:rPr>
        <w:cr/>
        <w:t>2.3.4. Bojkot pokojowy i siłowy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91</w:t>
      </w:r>
    </w:p>
    <w:p w:rsidR="00C82999" w:rsidRDefault="00C73883" w:rsidP="00295F2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2.3.5. Bojkot z wykorzystaniem podmiotów referencyjnych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102</w:t>
      </w:r>
      <w:r w:rsidRPr="00C82999">
        <w:rPr>
          <w:rFonts w:ascii="Calibri" w:hAnsi="Calibri" w:cs="Calibri"/>
          <w:sz w:val="22"/>
          <w:szCs w:val="22"/>
        </w:rPr>
        <w:cr/>
        <w:t>2.3.6. Bojkot w środowisku internetowym i rzeczywistym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108</w:t>
      </w:r>
    </w:p>
    <w:p w:rsid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2.4. Podsumowanie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113</w:t>
      </w:r>
      <w:r w:rsidRPr="00C82999">
        <w:rPr>
          <w:rFonts w:ascii="Calibri" w:hAnsi="Calibri" w:cs="Calibri"/>
          <w:sz w:val="22"/>
          <w:szCs w:val="22"/>
        </w:rPr>
        <w:cr/>
      </w:r>
    </w:p>
    <w:p w:rsidR="00CE3CAA" w:rsidRDefault="00C73883" w:rsidP="00CE3CAA">
      <w:pPr>
        <w:pStyle w:val="Zwykytekst"/>
        <w:rPr>
          <w:rFonts w:ascii="Calibri" w:hAnsi="Calibri" w:cs="Calibri"/>
          <w:sz w:val="22"/>
          <w:szCs w:val="22"/>
        </w:rPr>
      </w:pPr>
      <w:r w:rsidRPr="00E41E81">
        <w:rPr>
          <w:rFonts w:ascii="Calibri" w:hAnsi="Calibri" w:cs="Calibri"/>
          <w:b/>
          <w:sz w:val="22"/>
          <w:szCs w:val="22"/>
        </w:rPr>
        <w:t>Rozdział 3</w:t>
      </w:r>
      <w:r w:rsidR="00E41E81" w:rsidRPr="00E41E81">
        <w:rPr>
          <w:rFonts w:ascii="Calibri" w:hAnsi="Calibri" w:cs="Calibri"/>
          <w:b/>
          <w:sz w:val="22"/>
          <w:szCs w:val="22"/>
        </w:rPr>
        <w:t xml:space="preserve">. </w:t>
      </w:r>
      <w:r w:rsidR="00E41E81" w:rsidRPr="00E41E81">
        <w:rPr>
          <w:rFonts w:ascii="Calibri" w:hAnsi="Calibri" w:cs="Calibri"/>
          <w:b/>
          <w:sz w:val="22"/>
          <w:szCs w:val="22"/>
        </w:rPr>
        <w:t>Zarządzanie i marketing na rynku kultury a powstaw</w:t>
      </w:r>
      <w:r w:rsidR="00E41E81" w:rsidRPr="00E41E81">
        <w:rPr>
          <w:rFonts w:ascii="Calibri" w:hAnsi="Calibri" w:cs="Calibri"/>
          <w:b/>
          <w:sz w:val="22"/>
          <w:szCs w:val="22"/>
        </w:rPr>
        <w:t xml:space="preserve">anie niezadowolenia konsumentów </w:t>
      </w:r>
      <w:r w:rsidR="00E41E81" w:rsidRPr="00E41E81">
        <w:rPr>
          <w:rFonts w:ascii="Calibri" w:hAnsi="Calibri" w:cs="Calibri"/>
          <w:b/>
          <w:sz w:val="22"/>
          <w:szCs w:val="22"/>
        </w:rPr>
        <w:tab/>
      </w:r>
      <w:r w:rsidRPr="00E41E81">
        <w:rPr>
          <w:rFonts w:ascii="Calibri" w:hAnsi="Calibri" w:cs="Calibri"/>
          <w:b/>
          <w:sz w:val="22"/>
          <w:szCs w:val="22"/>
        </w:rPr>
        <w:t>115</w:t>
      </w:r>
      <w:r w:rsidRPr="00C82999">
        <w:rPr>
          <w:rFonts w:ascii="Calibri" w:hAnsi="Calibri" w:cs="Calibri"/>
          <w:sz w:val="22"/>
          <w:szCs w:val="22"/>
        </w:rPr>
        <w:cr/>
        <w:t>3.1. Kultura wysoka i procesy jej urynkawiania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115</w:t>
      </w:r>
    </w:p>
    <w:p w:rsid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3.1.1. Definicja rynku kultury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116</w:t>
      </w:r>
    </w:p>
    <w:p w:rsidR="00E41E81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3.1.2. Typy rynku kultury i jego produkty</w:t>
      </w:r>
      <w:r w:rsidR="00E41E81">
        <w:rPr>
          <w:rFonts w:ascii="Calibri" w:hAnsi="Calibri" w:cs="Calibri"/>
          <w:sz w:val="22"/>
          <w:szCs w:val="22"/>
        </w:rPr>
        <w:t xml:space="preserve"> </w:t>
      </w:r>
      <w:r w:rsidR="00E41E81">
        <w:rPr>
          <w:rFonts w:ascii="Calibri" w:hAnsi="Calibri" w:cs="Calibri"/>
          <w:sz w:val="22"/>
          <w:szCs w:val="22"/>
        </w:rPr>
        <w:tab/>
      </w:r>
      <w:r w:rsidRPr="00C82999">
        <w:rPr>
          <w:rFonts w:ascii="Calibri" w:hAnsi="Calibri" w:cs="Calibri"/>
          <w:sz w:val="22"/>
          <w:szCs w:val="22"/>
        </w:rPr>
        <w:t>118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3.2. Instytucje kultury</w:t>
      </w:r>
      <w:r w:rsidRPr="00C82999">
        <w:rPr>
          <w:rFonts w:ascii="Calibri" w:hAnsi="Calibri" w:cs="Calibri"/>
          <w:sz w:val="22"/>
          <w:szCs w:val="22"/>
        </w:rPr>
        <w:tab/>
        <w:t>121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3.2.1. Definicja instytucji kultury</w:t>
      </w:r>
      <w:r w:rsidRPr="00C82999">
        <w:rPr>
          <w:rFonts w:ascii="Calibri" w:hAnsi="Calibri" w:cs="Calibri"/>
          <w:sz w:val="22"/>
          <w:szCs w:val="22"/>
        </w:rPr>
        <w:tab/>
        <w:t>121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3.2.2. Funkcje instytucji kultury</w:t>
      </w:r>
      <w:r w:rsidRPr="00C82999">
        <w:rPr>
          <w:rFonts w:ascii="Calibri" w:hAnsi="Calibri" w:cs="Calibri"/>
          <w:sz w:val="22"/>
          <w:szCs w:val="22"/>
        </w:rPr>
        <w:tab/>
        <w:t>122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3.2.3. Typy instytucji kultury</w:t>
      </w:r>
      <w:r w:rsidRPr="00C82999">
        <w:rPr>
          <w:rFonts w:ascii="Calibri" w:hAnsi="Calibri" w:cs="Calibri"/>
          <w:sz w:val="22"/>
          <w:szCs w:val="22"/>
        </w:rPr>
        <w:tab/>
        <w:t>124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3.3. Konsumenci i otoczenie rynku kultury</w:t>
      </w:r>
      <w:r w:rsidRPr="00C82999">
        <w:rPr>
          <w:rFonts w:ascii="Calibri" w:hAnsi="Calibri" w:cs="Calibri"/>
          <w:sz w:val="22"/>
          <w:szCs w:val="22"/>
        </w:rPr>
        <w:tab/>
        <w:t>128</w:t>
      </w:r>
    </w:p>
    <w:p w:rsidR="00C73883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3.3.1. Konsument kultury</w:t>
      </w:r>
      <w:r w:rsidRPr="00C82999">
        <w:rPr>
          <w:rFonts w:ascii="Calibri" w:hAnsi="Calibri" w:cs="Calibri"/>
          <w:sz w:val="22"/>
          <w:szCs w:val="22"/>
        </w:rPr>
        <w:tab/>
        <w:t>128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3.3.1.1. Definicja konsumenta kultury</w:t>
      </w:r>
      <w:r w:rsidRPr="00C82999">
        <w:rPr>
          <w:rFonts w:ascii="Calibri" w:hAnsi="Calibri" w:cs="Calibri"/>
          <w:sz w:val="22"/>
          <w:szCs w:val="22"/>
        </w:rPr>
        <w:tab/>
        <w:t>128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3.3.1.2. Typy konsumentów kultury</w:t>
      </w:r>
      <w:r w:rsidRPr="00C82999">
        <w:rPr>
          <w:rFonts w:ascii="Calibri" w:hAnsi="Calibri" w:cs="Calibri"/>
          <w:sz w:val="22"/>
          <w:szCs w:val="22"/>
        </w:rPr>
        <w:tab/>
        <w:t>130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lastRenderedPageBreak/>
        <w:t>3.3.2. Procesy nabywcze konsumentów kultury</w:t>
      </w:r>
      <w:r w:rsidRPr="00C82999">
        <w:rPr>
          <w:rFonts w:ascii="Calibri" w:hAnsi="Calibri" w:cs="Calibri"/>
          <w:sz w:val="22"/>
          <w:szCs w:val="22"/>
        </w:rPr>
        <w:tab/>
        <w:t>133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3.4. Segmentacja, wybór grupy docelowej i pozycjonowanie na rynku kultury</w:t>
      </w:r>
      <w:r w:rsidRPr="00C82999">
        <w:rPr>
          <w:rFonts w:ascii="Calibri" w:hAnsi="Calibri" w:cs="Calibri"/>
          <w:sz w:val="22"/>
          <w:szCs w:val="22"/>
        </w:rPr>
        <w:tab/>
        <w:t>139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3.5. Interesariusze i konkurencja na rynku kultury</w:t>
      </w:r>
      <w:r w:rsidRPr="00C82999">
        <w:rPr>
          <w:rFonts w:ascii="Calibri" w:hAnsi="Calibri" w:cs="Calibri"/>
          <w:sz w:val="22"/>
          <w:szCs w:val="22"/>
        </w:rPr>
        <w:tab/>
        <w:t>148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3.5.1. Interesariusze na rynku kultury</w:t>
      </w:r>
      <w:r w:rsidRPr="00C82999">
        <w:rPr>
          <w:rFonts w:ascii="Calibri" w:hAnsi="Calibri" w:cs="Calibri"/>
          <w:sz w:val="22"/>
          <w:szCs w:val="22"/>
        </w:rPr>
        <w:tab/>
        <w:t>148</w:t>
      </w:r>
    </w:p>
    <w:p w:rsidR="00C73883" w:rsidRPr="00C82999" w:rsidRDefault="00C73883" w:rsidP="00CE3CAA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3.5.2. Konkurencja na rynku kultury</w:t>
      </w:r>
      <w:r w:rsidRPr="00C82999">
        <w:rPr>
          <w:rFonts w:ascii="Calibri" w:hAnsi="Calibri" w:cs="Calibri"/>
          <w:sz w:val="22"/>
          <w:szCs w:val="22"/>
        </w:rPr>
        <w:tab/>
        <w:t>151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3.6. Podsumowanie</w:t>
      </w:r>
      <w:r w:rsidRPr="00C82999">
        <w:rPr>
          <w:rFonts w:ascii="Calibri" w:hAnsi="Calibri" w:cs="Calibri"/>
          <w:sz w:val="22"/>
          <w:szCs w:val="22"/>
        </w:rPr>
        <w:tab/>
        <w:t>158</w:t>
      </w:r>
    </w:p>
    <w:p w:rsidR="007E7E37" w:rsidRDefault="007E7E37" w:rsidP="00C73883">
      <w:pPr>
        <w:pStyle w:val="Zwykytekst"/>
        <w:rPr>
          <w:rFonts w:ascii="Calibri" w:hAnsi="Calibri" w:cs="Calibri"/>
          <w:sz w:val="22"/>
          <w:szCs w:val="22"/>
        </w:rPr>
      </w:pPr>
    </w:p>
    <w:p w:rsidR="00C73883" w:rsidRPr="007E7E37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7E7E37">
        <w:rPr>
          <w:rFonts w:ascii="Calibri" w:hAnsi="Calibri" w:cs="Calibri"/>
          <w:b/>
          <w:sz w:val="22"/>
          <w:szCs w:val="22"/>
        </w:rPr>
        <w:t>Rozdział 4</w:t>
      </w:r>
      <w:r w:rsidR="007E7E37" w:rsidRPr="007E7E37">
        <w:rPr>
          <w:rFonts w:ascii="Calibri" w:hAnsi="Calibri" w:cs="Calibri"/>
          <w:b/>
          <w:sz w:val="22"/>
          <w:szCs w:val="22"/>
        </w:rPr>
        <w:t xml:space="preserve">. </w:t>
      </w:r>
      <w:r w:rsidRPr="007E7E37">
        <w:rPr>
          <w:rFonts w:ascii="Calibri" w:hAnsi="Calibri" w:cs="Calibri"/>
          <w:b/>
          <w:sz w:val="22"/>
          <w:szCs w:val="22"/>
        </w:rPr>
        <w:t>Strategie antykryzysowe przedsiębiorstw i instytucji kultury</w:t>
      </w:r>
      <w:r w:rsidR="007E7E37" w:rsidRPr="007E7E37">
        <w:rPr>
          <w:rFonts w:ascii="Calibri" w:hAnsi="Calibri" w:cs="Calibri"/>
          <w:b/>
          <w:sz w:val="22"/>
          <w:szCs w:val="22"/>
        </w:rPr>
        <w:t xml:space="preserve"> </w:t>
      </w:r>
      <w:r w:rsidRPr="007E7E37">
        <w:rPr>
          <w:rFonts w:ascii="Calibri" w:hAnsi="Calibri" w:cs="Calibri"/>
          <w:b/>
          <w:sz w:val="22"/>
          <w:szCs w:val="22"/>
        </w:rPr>
        <w:t>wobec zagrożenia bojkotami</w:t>
      </w:r>
      <w:r w:rsidRPr="007E7E37">
        <w:rPr>
          <w:rFonts w:ascii="Calibri" w:hAnsi="Calibri" w:cs="Calibri"/>
          <w:b/>
          <w:sz w:val="22"/>
          <w:szCs w:val="22"/>
        </w:rPr>
        <w:tab/>
        <w:t>161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4.1. Metodologia badania</w:t>
      </w:r>
      <w:r w:rsidRPr="00C82999">
        <w:rPr>
          <w:rFonts w:ascii="Calibri" w:hAnsi="Calibri" w:cs="Calibri"/>
          <w:sz w:val="22"/>
          <w:szCs w:val="22"/>
        </w:rPr>
        <w:tab/>
        <w:t>165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 Rozwój sytuacji kryzysowej w przedsiębiorstwach i instytucjach kultury</w:t>
      </w:r>
      <w:r w:rsidRPr="00C82999">
        <w:rPr>
          <w:rFonts w:ascii="Calibri" w:hAnsi="Calibri" w:cs="Calibri"/>
          <w:sz w:val="22"/>
          <w:szCs w:val="22"/>
        </w:rPr>
        <w:tab/>
        <w:t>168</w:t>
      </w:r>
    </w:p>
    <w:p w:rsidR="00C73883" w:rsidRPr="00C82999" w:rsidRDefault="00C73883" w:rsidP="00DF03A5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4.2.1. Spokój organizacyjny</w:t>
      </w:r>
      <w:r w:rsidRPr="00C82999">
        <w:rPr>
          <w:rFonts w:ascii="Calibri" w:hAnsi="Calibri" w:cs="Calibri"/>
          <w:sz w:val="22"/>
          <w:szCs w:val="22"/>
        </w:rPr>
        <w:tab/>
        <w:t>173</w:t>
      </w:r>
    </w:p>
    <w:p w:rsidR="00C73883" w:rsidRPr="00C82999" w:rsidRDefault="00C73883" w:rsidP="00DF03A5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4.2.2. Deeskalacja/Eskalacja</w:t>
      </w:r>
      <w:r w:rsidRPr="00C82999">
        <w:rPr>
          <w:rFonts w:ascii="Calibri" w:hAnsi="Calibri" w:cs="Calibri"/>
          <w:sz w:val="22"/>
          <w:szCs w:val="22"/>
        </w:rPr>
        <w:tab/>
        <w:t>179</w:t>
      </w:r>
    </w:p>
    <w:p w:rsidR="00C73883" w:rsidRPr="00C82999" w:rsidRDefault="00C73883" w:rsidP="00DF03A5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 Zwalczanie kryzysu i łagodzenie skutków</w:t>
      </w:r>
      <w:r w:rsidRPr="00C82999">
        <w:rPr>
          <w:rFonts w:ascii="Calibri" w:hAnsi="Calibri" w:cs="Calibri"/>
          <w:sz w:val="22"/>
          <w:szCs w:val="22"/>
        </w:rPr>
        <w:tab/>
        <w:t>182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4.2.3.1. Strategie zwalczania i łagodzenia skutków bojkotów konsumenckich</w:t>
      </w:r>
      <w:r w:rsidR="00DF03A5">
        <w:rPr>
          <w:rFonts w:ascii="Calibri" w:hAnsi="Calibri" w:cs="Calibri"/>
          <w:sz w:val="22"/>
          <w:szCs w:val="22"/>
        </w:rPr>
        <w:t xml:space="preserve"> </w:t>
      </w:r>
      <w:r w:rsidRPr="00C82999">
        <w:rPr>
          <w:rFonts w:ascii="Calibri" w:hAnsi="Calibri" w:cs="Calibri"/>
          <w:sz w:val="22"/>
          <w:szCs w:val="22"/>
        </w:rPr>
        <w:t>w przedsiębiorstwach</w:t>
      </w:r>
      <w:r w:rsidRPr="00C82999">
        <w:rPr>
          <w:rFonts w:ascii="Calibri" w:hAnsi="Calibri" w:cs="Calibri"/>
          <w:sz w:val="22"/>
          <w:szCs w:val="22"/>
        </w:rPr>
        <w:tab/>
        <w:t>182</w:t>
      </w:r>
    </w:p>
    <w:p w:rsidR="00C73883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 Strategie zwalczania i łagodzenia skutków bojkotów konsumenckich w instytucjach kultury – studia przypadków polskich instytucji</w:t>
      </w:r>
      <w:r w:rsidR="00DF03A5">
        <w:rPr>
          <w:rFonts w:ascii="Calibri" w:hAnsi="Calibri" w:cs="Calibri"/>
          <w:sz w:val="22"/>
          <w:szCs w:val="22"/>
        </w:rPr>
        <w:t xml:space="preserve"> </w:t>
      </w:r>
      <w:r w:rsidRPr="00C82999">
        <w:rPr>
          <w:rFonts w:ascii="Calibri" w:hAnsi="Calibri" w:cs="Calibri"/>
          <w:sz w:val="22"/>
          <w:szCs w:val="22"/>
        </w:rPr>
        <w:t>teatralnych</w:t>
      </w:r>
      <w:r w:rsidRPr="00C82999">
        <w:rPr>
          <w:rFonts w:ascii="Calibri" w:hAnsi="Calibri" w:cs="Calibri"/>
          <w:sz w:val="22"/>
          <w:szCs w:val="22"/>
        </w:rPr>
        <w:tab/>
        <w:t>185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4.2.3.2.1. Teatr Polski we Wrocławiu</w:t>
      </w:r>
      <w:r w:rsidRPr="00C82999">
        <w:rPr>
          <w:rFonts w:ascii="Calibri" w:hAnsi="Calibri" w:cs="Calibri"/>
          <w:sz w:val="22"/>
          <w:szCs w:val="22"/>
        </w:rPr>
        <w:tab/>
        <w:t>186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4.2.3.2.2. Teatr Polski w Bydgoszczy</w:t>
      </w:r>
      <w:r w:rsidRPr="00C82999">
        <w:rPr>
          <w:rFonts w:ascii="Calibri" w:hAnsi="Calibri" w:cs="Calibri"/>
          <w:sz w:val="22"/>
          <w:szCs w:val="22"/>
        </w:rPr>
        <w:tab/>
        <w:t>191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4.2.3.2.3. Teatr Stary w Krakowie</w:t>
      </w:r>
      <w:r w:rsidRPr="00C82999">
        <w:rPr>
          <w:rFonts w:ascii="Calibri" w:hAnsi="Calibri" w:cs="Calibri"/>
          <w:sz w:val="22"/>
          <w:szCs w:val="22"/>
        </w:rPr>
        <w:tab/>
        <w:t>194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4.2.3.2.4. Teatr Polonia w Warszawie</w:t>
      </w:r>
      <w:r w:rsidRPr="00C82999">
        <w:rPr>
          <w:rFonts w:ascii="Calibri" w:hAnsi="Calibri" w:cs="Calibri"/>
          <w:sz w:val="22"/>
          <w:szCs w:val="22"/>
        </w:rPr>
        <w:tab/>
        <w:t>198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4.2.3.2.5. Teatr Dramatyczny w Warszawie</w:t>
      </w:r>
      <w:r w:rsidRPr="00C82999">
        <w:rPr>
          <w:rFonts w:ascii="Calibri" w:hAnsi="Calibri" w:cs="Calibri"/>
          <w:sz w:val="22"/>
          <w:szCs w:val="22"/>
        </w:rPr>
        <w:tab/>
        <w:t>202</w:t>
      </w:r>
    </w:p>
    <w:p w:rsidR="00C73883" w:rsidRPr="00C82999" w:rsidRDefault="00C73883" w:rsidP="00DF03A5">
      <w:pPr>
        <w:pStyle w:val="Zwykytekst"/>
        <w:ind w:left="1701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4.2.3.2.6. Teatr Śląski w Katowicach</w:t>
      </w:r>
      <w:r w:rsidRPr="00C82999">
        <w:rPr>
          <w:rFonts w:ascii="Calibri" w:hAnsi="Calibri" w:cs="Calibri"/>
          <w:sz w:val="22"/>
          <w:szCs w:val="22"/>
        </w:rPr>
        <w:tab/>
        <w:t>206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4.2.3.3. Przyczyny bojkotów konsumenckich wobec instytucji kultury</w:t>
      </w:r>
      <w:r w:rsidR="00DF03A5">
        <w:rPr>
          <w:rFonts w:ascii="Calibri" w:hAnsi="Calibri" w:cs="Calibri"/>
          <w:sz w:val="22"/>
          <w:szCs w:val="22"/>
        </w:rPr>
        <w:t xml:space="preserve"> </w:t>
      </w:r>
      <w:r w:rsidRPr="00C82999">
        <w:rPr>
          <w:rFonts w:ascii="Calibri" w:hAnsi="Calibri" w:cs="Calibri"/>
          <w:sz w:val="22"/>
          <w:szCs w:val="22"/>
        </w:rPr>
        <w:t>i przedsiębiorstw – podobieństwa i różnice</w:t>
      </w:r>
      <w:r w:rsidRPr="00C82999">
        <w:rPr>
          <w:rFonts w:ascii="Calibri" w:hAnsi="Calibri" w:cs="Calibri"/>
          <w:sz w:val="22"/>
          <w:szCs w:val="22"/>
        </w:rPr>
        <w:tab/>
        <w:t>210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4.2.3.4. Przyczyny ofertowe i środowiskowe działań bojkotowych</w:t>
      </w:r>
      <w:r w:rsidRPr="00C82999">
        <w:rPr>
          <w:rFonts w:ascii="Calibri" w:hAnsi="Calibri" w:cs="Calibri"/>
          <w:sz w:val="22"/>
          <w:szCs w:val="22"/>
        </w:rPr>
        <w:tab/>
        <w:t>213</w:t>
      </w:r>
    </w:p>
    <w:p w:rsidR="00C73883" w:rsidRPr="00C82999" w:rsidRDefault="00C73883" w:rsidP="00DF03A5">
      <w:pPr>
        <w:pStyle w:val="Zwykytekst"/>
        <w:ind w:left="993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4.2.3.5. Bojkot jako sz</w:t>
      </w:r>
      <w:bookmarkStart w:id="0" w:name="_GoBack"/>
      <w:bookmarkEnd w:id="0"/>
      <w:r w:rsidRPr="00C82999">
        <w:rPr>
          <w:rFonts w:ascii="Calibri" w:hAnsi="Calibri" w:cs="Calibri"/>
          <w:sz w:val="22"/>
          <w:szCs w:val="22"/>
        </w:rPr>
        <w:t>ansa i zagrożenie – kategorie instytucji teatralnych</w:t>
      </w:r>
      <w:r w:rsidR="00DF03A5">
        <w:rPr>
          <w:rFonts w:ascii="Calibri" w:hAnsi="Calibri" w:cs="Calibri"/>
          <w:sz w:val="22"/>
          <w:szCs w:val="22"/>
        </w:rPr>
        <w:t xml:space="preserve"> </w:t>
      </w:r>
      <w:r w:rsidRPr="00C82999">
        <w:rPr>
          <w:rFonts w:ascii="Calibri" w:hAnsi="Calibri" w:cs="Calibri"/>
          <w:sz w:val="22"/>
          <w:szCs w:val="22"/>
        </w:rPr>
        <w:t>stosujących kontrowersyjną treść i promocję</w:t>
      </w:r>
      <w:r w:rsidRPr="00C82999">
        <w:rPr>
          <w:rFonts w:ascii="Calibri" w:hAnsi="Calibri" w:cs="Calibri"/>
          <w:sz w:val="22"/>
          <w:szCs w:val="22"/>
        </w:rPr>
        <w:tab/>
        <w:t>215</w:t>
      </w:r>
    </w:p>
    <w:p w:rsidR="00C73883" w:rsidRPr="00C82999" w:rsidRDefault="00C73883" w:rsidP="00DF03A5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4.2.4. Uczenie się i adaptacja</w:t>
      </w:r>
      <w:r w:rsidRPr="00C82999">
        <w:rPr>
          <w:rFonts w:ascii="Calibri" w:hAnsi="Calibri" w:cs="Calibri"/>
          <w:sz w:val="22"/>
          <w:szCs w:val="22"/>
        </w:rPr>
        <w:tab/>
        <w:t>220</w:t>
      </w:r>
    </w:p>
    <w:p w:rsidR="00C73883" w:rsidRPr="00C82999" w:rsidRDefault="00C73883" w:rsidP="00C73883">
      <w:pPr>
        <w:pStyle w:val="Zwykytekst"/>
        <w:rPr>
          <w:rFonts w:ascii="Calibri" w:hAnsi="Calibri" w:cs="Calibri"/>
          <w:sz w:val="22"/>
          <w:szCs w:val="22"/>
        </w:rPr>
      </w:pPr>
      <w:r w:rsidRPr="00C82999">
        <w:rPr>
          <w:rFonts w:ascii="Calibri" w:hAnsi="Calibri" w:cs="Calibri"/>
          <w:sz w:val="22"/>
          <w:szCs w:val="22"/>
        </w:rPr>
        <w:t>4.3. Podsumowanie</w:t>
      </w:r>
      <w:r w:rsidRPr="00C82999">
        <w:rPr>
          <w:rFonts w:ascii="Calibri" w:hAnsi="Calibri" w:cs="Calibri"/>
          <w:sz w:val="22"/>
          <w:szCs w:val="22"/>
        </w:rPr>
        <w:tab/>
        <w:t>221</w:t>
      </w:r>
    </w:p>
    <w:p w:rsidR="007E7E37" w:rsidRDefault="007E7E37" w:rsidP="00C73883">
      <w:pPr>
        <w:pStyle w:val="Zwykytekst"/>
        <w:rPr>
          <w:rFonts w:ascii="Calibri" w:hAnsi="Calibri" w:cs="Calibri"/>
          <w:sz w:val="22"/>
          <w:szCs w:val="22"/>
        </w:rPr>
      </w:pPr>
    </w:p>
    <w:p w:rsidR="00C73883" w:rsidRPr="007E7E37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7E7E37">
        <w:rPr>
          <w:rFonts w:ascii="Calibri" w:hAnsi="Calibri" w:cs="Calibri"/>
          <w:b/>
          <w:sz w:val="22"/>
          <w:szCs w:val="22"/>
        </w:rPr>
        <w:t>Zakończenie</w:t>
      </w:r>
      <w:r w:rsidRPr="007E7E37">
        <w:rPr>
          <w:rFonts w:ascii="Calibri" w:hAnsi="Calibri" w:cs="Calibri"/>
          <w:b/>
          <w:sz w:val="22"/>
          <w:szCs w:val="22"/>
        </w:rPr>
        <w:tab/>
        <w:t>225</w:t>
      </w:r>
    </w:p>
    <w:p w:rsidR="00C73883" w:rsidRPr="007E7E37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7E7E37">
        <w:rPr>
          <w:rFonts w:ascii="Calibri" w:hAnsi="Calibri" w:cs="Calibri"/>
          <w:b/>
          <w:sz w:val="22"/>
          <w:szCs w:val="22"/>
        </w:rPr>
        <w:t>Bibliografia</w:t>
      </w:r>
      <w:r w:rsidRPr="007E7E37">
        <w:rPr>
          <w:rFonts w:ascii="Calibri" w:hAnsi="Calibri" w:cs="Calibri"/>
          <w:b/>
          <w:sz w:val="22"/>
          <w:szCs w:val="22"/>
        </w:rPr>
        <w:tab/>
        <w:t>231</w:t>
      </w:r>
    </w:p>
    <w:p w:rsidR="00C73883" w:rsidRPr="007E7E37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proofErr w:type="spellStart"/>
      <w:r w:rsidRPr="007E7E37">
        <w:rPr>
          <w:rFonts w:ascii="Calibri" w:hAnsi="Calibri" w:cs="Calibri"/>
          <w:b/>
          <w:sz w:val="22"/>
          <w:szCs w:val="22"/>
        </w:rPr>
        <w:t>Netografia</w:t>
      </w:r>
      <w:proofErr w:type="spellEnd"/>
      <w:r w:rsidRPr="007E7E37">
        <w:rPr>
          <w:rFonts w:ascii="Calibri" w:hAnsi="Calibri" w:cs="Calibri"/>
          <w:b/>
          <w:sz w:val="22"/>
          <w:szCs w:val="22"/>
        </w:rPr>
        <w:tab/>
        <w:t>245</w:t>
      </w:r>
    </w:p>
    <w:p w:rsidR="00C73883" w:rsidRPr="007E7E37" w:rsidRDefault="00C73883" w:rsidP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7E7E37">
        <w:rPr>
          <w:rFonts w:ascii="Calibri" w:hAnsi="Calibri" w:cs="Calibri"/>
          <w:b/>
          <w:sz w:val="22"/>
          <w:szCs w:val="22"/>
        </w:rPr>
        <w:t>Spis rysunków i tabel</w:t>
      </w:r>
      <w:r w:rsidRPr="007E7E37">
        <w:rPr>
          <w:rFonts w:ascii="Calibri" w:hAnsi="Calibri" w:cs="Calibri"/>
          <w:b/>
          <w:sz w:val="22"/>
          <w:szCs w:val="22"/>
        </w:rPr>
        <w:tab/>
        <w:t>259</w:t>
      </w:r>
    </w:p>
    <w:p w:rsidR="00C82999" w:rsidRPr="007E7E37" w:rsidRDefault="00C73883">
      <w:pPr>
        <w:pStyle w:val="Zwykytekst"/>
        <w:rPr>
          <w:rFonts w:ascii="Calibri" w:hAnsi="Calibri" w:cs="Calibri"/>
          <w:b/>
          <w:sz w:val="22"/>
          <w:szCs w:val="22"/>
        </w:rPr>
      </w:pPr>
      <w:r w:rsidRPr="007E7E37">
        <w:rPr>
          <w:rFonts w:ascii="Calibri" w:hAnsi="Calibri" w:cs="Calibri"/>
          <w:b/>
          <w:sz w:val="22"/>
          <w:szCs w:val="22"/>
        </w:rPr>
        <w:t>Załącznik 1 – Scenariusz wywiadu</w:t>
      </w:r>
      <w:r w:rsidRPr="007E7E37">
        <w:rPr>
          <w:rFonts w:ascii="Calibri" w:hAnsi="Calibri" w:cs="Calibri"/>
          <w:b/>
          <w:sz w:val="22"/>
          <w:szCs w:val="22"/>
        </w:rPr>
        <w:tab/>
        <w:t>261</w:t>
      </w:r>
    </w:p>
    <w:sectPr w:rsidR="00C82999" w:rsidRPr="007E7E37" w:rsidSect="00C82999">
      <w:pgSz w:w="9526" w:h="13608" w:code="205"/>
      <w:pgMar w:top="1134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295F2A"/>
    <w:rsid w:val="0077555E"/>
    <w:rsid w:val="007E7E37"/>
    <w:rsid w:val="00C73883"/>
    <w:rsid w:val="00C82999"/>
    <w:rsid w:val="00CE3CAA"/>
    <w:rsid w:val="00DF03A5"/>
    <w:rsid w:val="00E41E81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61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5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61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5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7</cp:revision>
  <dcterms:created xsi:type="dcterms:W3CDTF">2019-11-12T10:49:00Z</dcterms:created>
  <dcterms:modified xsi:type="dcterms:W3CDTF">2019-11-12T11:15:00Z</dcterms:modified>
</cp:coreProperties>
</file>