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Wst</w:t>
      </w:r>
      <w:r w:rsidRPr="008044EB">
        <w:rPr>
          <w:rFonts w:ascii="Times New Roman" w:hAnsi="Times New Roman"/>
          <w:b/>
          <w:color w:val="231F20"/>
          <w:lang w:val="pl-PL"/>
        </w:rPr>
        <w:t>ę</w:t>
      </w:r>
      <w:r w:rsidRPr="008044EB">
        <w:rPr>
          <w:rFonts w:ascii="Times New Roman" w:hAnsi="Times New Roman"/>
          <w:b/>
          <w:color w:val="231F20"/>
          <w:lang w:val="pl-PL"/>
        </w:rPr>
        <w:t>p.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Ostateczny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cel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wszelkiej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nauki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prawa</w:t>
      </w:r>
      <w:r w:rsidRPr="008044EB">
        <w:rPr>
          <w:rFonts w:ascii="Times New Roman" w:hAnsi="Times New Roman"/>
          <w:b/>
          <w:color w:val="231F20"/>
          <w:lang w:val="pl-PL"/>
        </w:rPr>
        <w:tab/>
      </w:r>
      <w:r w:rsidRPr="008044EB">
        <w:rPr>
          <w:rFonts w:ascii="Times New Roman" w:hAnsi="Times New Roman"/>
          <w:b/>
          <w:color w:val="231F20"/>
          <w:lang w:val="pl-PL"/>
        </w:rPr>
        <w:t>11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Ostateczny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cel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nauk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filozofia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polityki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12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Uwag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m</w:t>
      </w:r>
      <w:r w:rsidRPr="008044EB">
        <w:rPr>
          <w:rFonts w:ascii="Garamond"/>
          <w:color w:val="231F20"/>
          <w:lang w:val="pl-PL"/>
        </w:rPr>
        <w:t>et</w:t>
      </w:r>
      <w:r w:rsidRPr="008044EB">
        <w:rPr>
          <w:rFonts w:ascii="Garamond"/>
          <w:color w:val="231F20"/>
          <w:lang w:val="pl-PL"/>
        </w:rPr>
        <w:t>odo</w:t>
      </w:r>
      <w:r w:rsidRPr="008044EB">
        <w:rPr>
          <w:rFonts w:ascii="Garamond"/>
          <w:color w:val="231F20"/>
          <w:lang w:val="pl-PL"/>
        </w:rPr>
        <w:t>l</w:t>
      </w:r>
      <w:r w:rsidRPr="008044EB">
        <w:rPr>
          <w:rFonts w:ascii="Garamond"/>
          <w:color w:val="231F20"/>
          <w:lang w:val="pl-PL"/>
        </w:rPr>
        <w:t>og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>cz</w:t>
      </w:r>
      <w:r w:rsidRPr="008044EB">
        <w:rPr>
          <w:rFonts w:ascii="Garamond"/>
          <w:color w:val="231F20"/>
          <w:lang w:val="pl-PL"/>
        </w:rPr>
        <w:t>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14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Objaśn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term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nów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16</w:t>
      </w:r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Rozdział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I.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Źr</w:t>
      </w:r>
      <w:r w:rsidRPr="008044EB">
        <w:rPr>
          <w:rFonts w:ascii="Times New Roman" w:hAnsi="Times New Roman"/>
          <w:b/>
          <w:color w:val="231F20"/>
          <w:lang w:val="pl-PL"/>
        </w:rPr>
        <w:t>ódł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prawa.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Od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ln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ści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d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systemu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bo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ą</w:t>
      </w:r>
      <w:r w:rsidRPr="008044EB">
        <w:rPr>
          <w:rFonts w:ascii="Times New Roman" w:hAnsi="Times New Roman"/>
          <w:b/>
          <w:color w:val="231F20"/>
          <w:lang w:val="pl-PL"/>
        </w:rPr>
        <w:t>z</w:t>
      </w:r>
      <w:r w:rsidRPr="008044EB">
        <w:rPr>
          <w:rFonts w:ascii="Times New Roman" w:hAnsi="Times New Roman"/>
          <w:b/>
          <w:color w:val="231F20"/>
          <w:lang w:val="pl-PL"/>
        </w:rPr>
        <w:t>kó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ab/>
      </w:r>
      <w:r w:rsidRPr="008044EB">
        <w:rPr>
          <w:rFonts w:ascii="Times New Roman" w:hAnsi="Times New Roman"/>
          <w:b/>
          <w:color w:val="231F20"/>
          <w:lang w:val="pl-PL"/>
        </w:rPr>
        <w:t>19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ln</w:t>
      </w:r>
      <w:r w:rsidRPr="008044EB">
        <w:rPr>
          <w:rFonts w:ascii="Garamond" w:hAnsi="Garamond"/>
          <w:color w:val="231F20"/>
          <w:lang w:val="pl-PL"/>
        </w:rPr>
        <w:t>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j</w:t>
      </w:r>
      <w:r w:rsidRPr="008044EB">
        <w:rPr>
          <w:rFonts w:ascii="Garamond" w:hAnsi="Garamond"/>
          <w:color w:val="231F20"/>
          <w:lang w:val="pl-PL"/>
        </w:rPr>
        <w:t>ako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warunek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możl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wośc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pojęcia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ązku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ln</w:t>
      </w:r>
      <w:r w:rsidRPr="008044EB">
        <w:rPr>
          <w:rFonts w:ascii="Garamond" w:hAnsi="Garamond"/>
          <w:color w:val="231F20"/>
          <w:lang w:val="pl-PL"/>
        </w:rPr>
        <w:t>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psychologiczna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j</w:t>
      </w:r>
      <w:r w:rsidRPr="008044EB">
        <w:rPr>
          <w:rFonts w:ascii="Garamond" w:hAnsi="Garamond"/>
          <w:color w:val="231F20"/>
          <w:lang w:val="pl-PL"/>
        </w:rPr>
        <w:t>ako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pozór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św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ata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dośw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adczen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22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ln</w:t>
      </w:r>
      <w:r w:rsidRPr="008044EB">
        <w:rPr>
          <w:rFonts w:ascii="Garamond" w:hAnsi="Garamond"/>
          <w:color w:val="231F20"/>
          <w:lang w:val="pl-PL"/>
        </w:rPr>
        <w:t>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rozum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u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transcendentaln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m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Prz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cz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nowość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wo</w:t>
      </w:r>
      <w:r w:rsidRPr="008044EB">
        <w:rPr>
          <w:rFonts w:ascii="Garamond" w:hAnsi="Garamond"/>
          <w:color w:val="231F20"/>
          <w:lang w:val="pl-PL"/>
        </w:rPr>
        <w:t>l</w:t>
      </w:r>
      <w:r w:rsidRPr="008044EB">
        <w:rPr>
          <w:rFonts w:ascii="Garamond" w:hAnsi="Garamond"/>
          <w:color w:val="231F20"/>
          <w:lang w:val="pl-PL"/>
        </w:rPr>
        <w:t>ności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23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dea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wolności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i/>
          <w:color w:val="231F20"/>
          <w:lang w:val="pl-PL"/>
        </w:rPr>
        <w:t>Uz</w:t>
      </w:r>
      <w:r w:rsidRPr="008044EB">
        <w:rPr>
          <w:rFonts w:ascii="Garamond" w:hAnsi="Garamond"/>
          <w:i/>
          <w:color w:val="231F20"/>
          <w:lang w:val="pl-PL"/>
        </w:rPr>
        <w:t>asadnieniu</w:t>
      </w:r>
      <w:r w:rsidRPr="008044EB">
        <w:rPr>
          <w:rFonts w:ascii="Garamond" w:hAnsi="Garamond"/>
          <w:i/>
          <w:color w:val="231F20"/>
          <w:lang w:val="pl-PL"/>
        </w:rPr>
        <w:t xml:space="preserve"> </w:t>
      </w:r>
      <w:r w:rsidRPr="008044EB">
        <w:rPr>
          <w:rFonts w:ascii="Garamond" w:hAnsi="Garamond"/>
          <w:i/>
          <w:color w:val="231F20"/>
          <w:lang w:val="pl-PL"/>
        </w:rPr>
        <w:t>meta</w:t>
      </w:r>
      <w:r w:rsidRPr="008044EB">
        <w:rPr>
          <w:rFonts w:ascii="Garamond" w:hAnsi="Garamond"/>
          <w:i/>
          <w:color w:val="231F20"/>
          <w:lang w:val="pl-PL"/>
        </w:rPr>
        <w:t>fiz</w:t>
      </w:r>
      <w:r w:rsidRPr="008044EB">
        <w:rPr>
          <w:rFonts w:ascii="Garamond" w:hAnsi="Garamond"/>
          <w:i/>
          <w:color w:val="231F20"/>
          <w:lang w:val="pl-PL"/>
        </w:rPr>
        <w:t>y</w:t>
      </w:r>
      <w:r w:rsidRPr="008044EB">
        <w:rPr>
          <w:rFonts w:ascii="Garamond" w:hAnsi="Garamond"/>
          <w:i/>
          <w:color w:val="231F20"/>
          <w:lang w:val="pl-PL"/>
        </w:rPr>
        <w:t>k</w:t>
      </w:r>
      <w:r w:rsidRPr="008044EB">
        <w:rPr>
          <w:rFonts w:ascii="Garamond" w:hAnsi="Garamond"/>
          <w:i/>
          <w:color w:val="231F20"/>
          <w:lang w:val="pl-PL"/>
        </w:rPr>
        <w:t>i</w:t>
      </w:r>
      <w:r w:rsidRPr="008044EB">
        <w:rPr>
          <w:rFonts w:ascii="Garamond" w:hAnsi="Garamond"/>
          <w:i/>
          <w:color w:val="231F20"/>
          <w:lang w:val="pl-PL"/>
        </w:rPr>
        <w:t xml:space="preserve"> </w:t>
      </w:r>
      <w:r w:rsidRPr="008044EB">
        <w:rPr>
          <w:rFonts w:ascii="Garamond" w:hAnsi="Garamond"/>
          <w:i/>
          <w:color w:val="231F20"/>
          <w:lang w:val="pl-PL"/>
        </w:rPr>
        <w:t>moralności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27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ln</w:t>
      </w:r>
      <w:r w:rsidRPr="008044EB">
        <w:rPr>
          <w:rFonts w:ascii="Garamond" w:hAnsi="Garamond"/>
          <w:color w:val="231F20"/>
          <w:lang w:val="pl-PL"/>
        </w:rPr>
        <w:t>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władza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pożądan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a.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Ewo</w:t>
      </w:r>
      <w:r w:rsidRPr="008044EB">
        <w:rPr>
          <w:rFonts w:ascii="Garamond" w:hAnsi="Garamond"/>
          <w:color w:val="231F20"/>
          <w:lang w:val="pl-PL"/>
        </w:rPr>
        <w:t>lu</w:t>
      </w:r>
      <w:r w:rsidRPr="008044EB">
        <w:rPr>
          <w:rFonts w:ascii="Garamond" w:hAnsi="Garamond"/>
          <w:color w:val="231F20"/>
          <w:lang w:val="pl-PL"/>
        </w:rPr>
        <w:t>c</w:t>
      </w:r>
      <w:r w:rsidRPr="008044EB">
        <w:rPr>
          <w:rFonts w:ascii="Garamond" w:hAnsi="Garamond"/>
          <w:color w:val="231F20"/>
          <w:lang w:val="pl-PL"/>
        </w:rPr>
        <w:t>ja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poglądów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Kanta</w:t>
      </w:r>
      <w:r w:rsidRPr="008044EB">
        <w:rPr>
          <w:rFonts w:ascii="Garamond" w:hAnsi="Garamond"/>
          <w:color w:val="231F20"/>
          <w:lang w:val="pl-PL"/>
        </w:rPr>
        <w:tab/>
        <w:t>30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ln</w:t>
      </w:r>
      <w:r w:rsidRPr="008044EB">
        <w:rPr>
          <w:rFonts w:ascii="Garamond" w:hAnsi="Garamond"/>
          <w:color w:val="231F20"/>
          <w:lang w:val="pl-PL"/>
        </w:rPr>
        <w:t>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moralne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34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Autonomia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woli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>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moralne.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Imperat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kategor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czn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35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Forma,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mater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zupełność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moralnego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38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ązek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ązan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42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proofErr w:type="spellStart"/>
      <w:r w:rsidRPr="008044EB">
        <w:rPr>
          <w:rFonts w:ascii="Garamond" w:hAnsi="Garamond"/>
          <w:color w:val="231F20"/>
          <w:lang w:val="pl-PL"/>
        </w:rPr>
        <w:t>Normodawstwo</w:t>
      </w:r>
      <w:proofErr w:type="spellEnd"/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et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czne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proofErr w:type="spellStart"/>
      <w:r w:rsidRPr="008044EB">
        <w:rPr>
          <w:rFonts w:ascii="Garamond" w:hAnsi="Garamond"/>
          <w:color w:val="231F20"/>
          <w:lang w:val="pl-PL"/>
        </w:rPr>
        <w:t>normodawstwo</w:t>
      </w:r>
      <w:proofErr w:type="spellEnd"/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jur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d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czne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Ty</w:t>
      </w:r>
      <w:r w:rsidRPr="008044EB">
        <w:rPr>
          <w:rFonts w:ascii="Garamond" w:hAnsi="Garamond"/>
          <w:color w:val="231F20"/>
          <w:lang w:val="pl-PL"/>
        </w:rPr>
        <w:t>p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zobo</w:t>
      </w:r>
      <w:r w:rsidRPr="008044EB">
        <w:rPr>
          <w:rFonts w:ascii="Garamond" w:hAnsi="Garamond"/>
          <w:color w:val="231F20"/>
          <w:lang w:val="pl-PL"/>
        </w:rPr>
        <w:t>wiązania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43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Podz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ał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ązków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45</w:t>
      </w:r>
      <w:bookmarkStart w:id="0" w:name="_GoBack"/>
      <w:bookmarkEnd w:id="0"/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zdz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II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Po</w:t>
      </w:r>
      <w:r w:rsidRPr="008044EB">
        <w:rPr>
          <w:rFonts w:ascii="Times New Roman" w:hAnsi="Times New Roman"/>
          <w:b/>
          <w:color w:val="231F20"/>
          <w:lang w:val="pl-PL"/>
        </w:rPr>
        <w:t>j</w:t>
      </w:r>
      <w:r w:rsidRPr="008044EB">
        <w:rPr>
          <w:rFonts w:ascii="Times New Roman" w:hAnsi="Times New Roman"/>
          <w:b/>
          <w:color w:val="231F20"/>
          <w:lang w:val="pl-PL"/>
        </w:rPr>
        <w:t>ęcie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prawa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d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s</w:t>
      </w:r>
      <w:r w:rsidRPr="008044EB">
        <w:rPr>
          <w:rFonts w:ascii="Times New Roman" w:hAnsi="Times New Roman"/>
          <w:b/>
          <w:color w:val="231F20"/>
          <w:lang w:val="pl-PL"/>
        </w:rPr>
        <w:t>y</w:t>
      </w:r>
      <w:r w:rsidRPr="008044EB">
        <w:rPr>
          <w:rFonts w:ascii="Times New Roman" w:hAnsi="Times New Roman"/>
          <w:b/>
          <w:color w:val="231F20"/>
          <w:lang w:val="pl-PL"/>
        </w:rPr>
        <w:t>ste</w:t>
      </w:r>
      <w:r w:rsidRPr="008044EB">
        <w:rPr>
          <w:rFonts w:ascii="Times New Roman" w:hAnsi="Times New Roman"/>
          <w:b/>
          <w:color w:val="231F20"/>
          <w:lang w:val="pl-PL"/>
        </w:rPr>
        <w:t>mu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b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ązk</w:t>
      </w:r>
      <w:r w:rsidRPr="008044EB">
        <w:rPr>
          <w:rFonts w:ascii="Times New Roman" w:hAnsi="Times New Roman"/>
          <w:b/>
          <w:color w:val="231F20"/>
          <w:lang w:val="pl-PL"/>
        </w:rPr>
        <w:t>ó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d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prawa</w:t>
      </w:r>
      <w:r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se</w:t>
      </w:r>
      <w:r w:rsidRPr="008044EB">
        <w:rPr>
          <w:rFonts w:ascii="Times New Roman" w:hAnsi="Times New Roman"/>
          <w:b/>
          <w:color w:val="231F20"/>
          <w:lang w:val="pl-PL"/>
        </w:rPr>
        <w:t>n</w:t>
      </w:r>
      <w:r w:rsidRPr="008044EB">
        <w:rPr>
          <w:rFonts w:ascii="Times New Roman" w:hAnsi="Times New Roman"/>
          <w:b/>
          <w:color w:val="231F20"/>
          <w:lang w:val="pl-PL"/>
        </w:rPr>
        <w:t>sie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ścisłym</w:t>
      </w:r>
      <w:r w:rsidRPr="008044EB">
        <w:rPr>
          <w:rFonts w:ascii="Times New Roman" w:hAnsi="Times New Roman"/>
          <w:b/>
          <w:color w:val="231F20"/>
          <w:lang w:val="pl-PL"/>
        </w:rPr>
        <w:tab/>
      </w:r>
      <w:r w:rsidRPr="008044EB">
        <w:rPr>
          <w:rFonts w:ascii="Times New Roman" w:hAnsi="Times New Roman"/>
          <w:b/>
          <w:color w:val="231F20"/>
          <w:lang w:val="pl-PL"/>
        </w:rPr>
        <w:t>51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Ogólny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podz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ał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ązków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proofErr w:type="spellStart"/>
      <w:r w:rsidRPr="008044EB">
        <w:rPr>
          <w:rFonts w:ascii="Garamond" w:hAnsi="Garamond"/>
          <w:color w:val="231F20"/>
          <w:lang w:val="pl-PL"/>
        </w:rPr>
        <w:t>Ulp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anem</w:t>
      </w:r>
      <w:proofErr w:type="spellEnd"/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51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ązk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wewnętrzne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ązek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cnot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ązek</w:t>
      </w:r>
      <w:r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etyczn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ab/>
        <w:t>53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ązek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obow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ązek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jur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d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czn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sens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śc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sł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m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56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Sankc</w:t>
      </w:r>
      <w:r w:rsidRPr="008044EB">
        <w:rPr>
          <w:rFonts w:ascii="Garamond" w:hAnsi="Garamond"/>
          <w:color w:val="231F20"/>
          <w:lang w:val="pl-PL"/>
        </w:rPr>
        <w:t>j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prz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musu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wolność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zewnętrzna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59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natur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>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poz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t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61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Pr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wrodzo</w:t>
      </w:r>
      <w:r w:rsidRPr="008044EB">
        <w:rPr>
          <w:rFonts w:ascii="Garamond" w:hAnsi="Garamond"/>
          <w:color w:val="231F20"/>
          <w:lang w:val="pl-PL"/>
        </w:rPr>
        <w:t>ne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nabyte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własność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wewnętrzna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zewnętrz</w:t>
      </w:r>
      <w:r w:rsidRPr="008044EB">
        <w:rPr>
          <w:rFonts w:ascii="Garamond"/>
          <w:color w:val="231F20"/>
          <w:lang w:val="pl-PL"/>
        </w:rPr>
        <w:t>na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63</w:t>
      </w:r>
    </w:p>
    <w:p w:rsidR="00804662" w:rsidRPr="008044EB" w:rsidRDefault="008044EB" w:rsidP="008044EB">
      <w:pPr>
        <w:ind w:left="567" w:right="-1" w:hanging="567"/>
        <w:rPr>
          <w:rFonts w:ascii="Garamond"/>
          <w:color w:val="231F20"/>
          <w:lang w:val="pl-PL"/>
        </w:rPr>
      </w:pP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natur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ob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watelsk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>e,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watne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</w:t>
      </w:r>
      <w:r w:rsidRPr="008044EB">
        <w:rPr>
          <w:rFonts w:ascii="Garamond"/>
          <w:color w:val="231F20"/>
          <w:lang w:val="pl-PL"/>
        </w:rPr>
        <w:t>u</w:t>
      </w:r>
      <w:r w:rsidRPr="008044EB">
        <w:rPr>
          <w:rFonts w:ascii="Garamond"/>
          <w:color w:val="231F20"/>
          <w:lang w:val="pl-PL"/>
        </w:rPr>
        <w:t>bliczne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67</w:t>
      </w:r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zdz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III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raw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prywatn</w:t>
      </w:r>
      <w:r w:rsidRPr="008044EB">
        <w:rPr>
          <w:rFonts w:ascii="Times New Roman" w:hAnsi="Times New Roman"/>
          <w:b/>
          <w:color w:val="231F20"/>
          <w:lang w:val="pl-PL"/>
        </w:rPr>
        <w:t>e.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Od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po</w:t>
      </w:r>
      <w:r w:rsidRPr="008044EB">
        <w:rPr>
          <w:rFonts w:ascii="Times New Roman" w:hAnsi="Times New Roman"/>
          <w:b/>
          <w:color w:val="231F20"/>
          <w:lang w:val="pl-PL"/>
        </w:rPr>
        <w:t>j</w:t>
      </w:r>
      <w:r w:rsidRPr="008044EB">
        <w:rPr>
          <w:rFonts w:ascii="Times New Roman" w:hAnsi="Times New Roman"/>
          <w:b/>
          <w:color w:val="231F20"/>
          <w:lang w:val="pl-PL"/>
        </w:rPr>
        <w:t>ęci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rawa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do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raw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j</w:t>
      </w:r>
      <w:r w:rsidRPr="008044EB">
        <w:rPr>
          <w:rFonts w:ascii="Times New Roman" w:hAnsi="Times New Roman"/>
          <w:b/>
          <w:color w:val="231F20"/>
          <w:lang w:val="pl-PL"/>
        </w:rPr>
        <w:t>ednost</w:t>
      </w:r>
      <w:r w:rsidRPr="008044EB">
        <w:rPr>
          <w:rFonts w:ascii="Times New Roman"/>
          <w:b/>
          <w:color w:val="231F20"/>
          <w:lang w:val="pl-PL"/>
        </w:rPr>
        <w:t>kowych</w:t>
      </w:r>
      <w:r w:rsidRPr="008044EB">
        <w:rPr>
          <w:rFonts w:ascii="Times New Roman"/>
          <w:b/>
          <w:color w:val="231F20"/>
          <w:lang w:val="pl-PL"/>
        </w:rPr>
        <w:tab/>
      </w:r>
      <w:r w:rsidRPr="008044EB">
        <w:rPr>
          <w:rFonts w:ascii="Times New Roman"/>
          <w:b/>
          <w:color w:val="231F20"/>
          <w:lang w:val="pl-PL"/>
        </w:rPr>
        <w:t>69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Własność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pos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adan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e.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Co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t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znacz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eć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coś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zewnętrznego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69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Prawn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postulat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rozumu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prakt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cznego.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i/>
          <w:color w:val="231F20"/>
          <w:lang w:val="pl-PL"/>
        </w:rPr>
        <w:t>L</w:t>
      </w:r>
      <w:r w:rsidRPr="008044EB">
        <w:rPr>
          <w:rFonts w:ascii="Garamond"/>
          <w:i/>
          <w:color w:val="231F20"/>
          <w:lang w:val="pl-PL"/>
        </w:rPr>
        <w:t>e</w:t>
      </w:r>
      <w:r w:rsidRPr="008044EB">
        <w:rPr>
          <w:rFonts w:ascii="Garamond"/>
          <w:i/>
          <w:color w:val="231F20"/>
          <w:lang w:val="pl-PL"/>
        </w:rPr>
        <w:t>x</w:t>
      </w:r>
      <w:r w:rsidRPr="008044EB">
        <w:rPr>
          <w:rFonts w:ascii="Garamond"/>
          <w:i/>
          <w:color w:val="231F20"/>
          <w:lang w:val="pl-PL"/>
        </w:rPr>
        <w:t xml:space="preserve"> </w:t>
      </w:r>
      <w:proofErr w:type="spellStart"/>
      <w:r w:rsidRPr="008044EB">
        <w:rPr>
          <w:rFonts w:ascii="Garamond"/>
          <w:i/>
          <w:color w:val="231F20"/>
          <w:lang w:val="pl-PL"/>
        </w:rPr>
        <w:t>permissiva</w:t>
      </w:r>
      <w:proofErr w:type="spellEnd"/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72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ł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no</w:t>
      </w:r>
      <w:r w:rsidRPr="008044EB">
        <w:rPr>
          <w:rFonts w:ascii="Garamond" w:hAnsi="Garamond"/>
          <w:color w:val="231F20"/>
          <w:lang w:val="pl-PL"/>
        </w:rPr>
        <w:t>ś</w:t>
      </w:r>
      <w:r w:rsidRPr="008044EB">
        <w:rPr>
          <w:rFonts w:ascii="Garamond" w:hAnsi="Garamond"/>
          <w:color w:val="231F20"/>
          <w:lang w:val="pl-PL"/>
        </w:rPr>
        <w:t>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tanie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natury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tanie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ob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atel</w:t>
      </w:r>
      <w:r w:rsidRPr="008044EB">
        <w:rPr>
          <w:rFonts w:ascii="Garamond" w:hAnsi="Garamond"/>
          <w:color w:val="231F20"/>
          <w:lang w:val="pl-PL"/>
        </w:rPr>
        <w:t>sk</w:t>
      </w:r>
      <w:r w:rsidRPr="008044EB">
        <w:rPr>
          <w:rFonts w:ascii="Garamond" w:hAnsi="Garamond"/>
          <w:color w:val="231F20"/>
          <w:lang w:val="pl-PL"/>
        </w:rPr>
        <w:t>im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78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Materia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prywatnego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80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N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>b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>anie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80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 xml:space="preserve">Prawo    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rzeczowe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81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 xml:space="preserve">Prawo    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osobowe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84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Prawo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wsp</w:t>
      </w:r>
      <w:r w:rsidRPr="008044EB">
        <w:rPr>
          <w:rFonts w:ascii="Garamond" w:hAnsi="Garamond"/>
          <w:color w:val="231F20"/>
          <w:lang w:val="pl-PL"/>
        </w:rPr>
        <w:t>óln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ty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domowej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87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Spra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iedli</w:t>
      </w:r>
      <w:r w:rsidRPr="008044EB">
        <w:rPr>
          <w:rFonts w:ascii="Garamond" w:hAnsi="Garamond"/>
          <w:color w:val="231F20"/>
          <w:lang w:val="pl-PL"/>
        </w:rPr>
        <w:t>woś</w:t>
      </w:r>
      <w:r w:rsidRPr="008044EB">
        <w:rPr>
          <w:rFonts w:ascii="Garamond" w:hAnsi="Garamond"/>
          <w:color w:val="231F20"/>
          <w:lang w:val="pl-PL"/>
        </w:rPr>
        <w:t>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r</w:t>
      </w:r>
      <w:r w:rsidRPr="008044EB">
        <w:rPr>
          <w:rFonts w:ascii="Garamond" w:hAnsi="Garamond"/>
          <w:color w:val="231F20"/>
          <w:lang w:val="pl-PL"/>
        </w:rPr>
        <w:t>oz</w:t>
      </w:r>
      <w:r w:rsidRPr="008044EB">
        <w:rPr>
          <w:rFonts w:ascii="Garamond" w:hAnsi="Garamond"/>
          <w:color w:val="231F20"/>
          <w:lang w:val="pl-PL"/>
        </w:rPr>
        <w:t>d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ielc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</w:t>
      </w:r>
      <w:r w:rsidRPr="008044EB">
        <w:rPr>
          <w:rFonts w:ascii="Garamond" w:hAnsi="Garamond"/>
          <w:color w:val="231F20"/>
          <w:lang w:val="pl-PL"/>
        </w:rPr>
        <w:t>ry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atne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90</w:t>
      </w:r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zdz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IV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Metafizyczn</w:t>
      </w:r>
      <w:r w:rsidRPr="008044EB">
        <w:rPr>
          <w:rFonts w:ascii="Times New Roman" w:hAnsi="Times New Roman"/>
          <w:b/>
          <w:color w:val="231F20"/>
          <w:lang w:val="pl-PL"/>
        </w:rPr>
        <w:t>e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odst</w:t>
      </w:r>
      <w:r w:rsidRPr="008044EB">
        <w:rPr>
          <w:rFonts w:ascii="Times New Roman" w:hAnsi="Times New Roman"/>
          <w:b/>
          <w:color w:val="231F20"/>
          <w:lang w:val="pl-PL"/>
        </w:rPr>
        <w:t>awy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n</w:t>
      </w:r>
      <w:r w:rsidRPr="008044EB">
        <w:rPr>
          <w:rFonts w:ascii="Times New Roman" w:hAnsi="Times New Roman"/>
          <w:b/>
          <w:color w:val="231F20"/>
          <w:lang w:val="pl-PL"/>
        </w:rPr>
        <w:t>auk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prawie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pub</w:t>
      </w:r>
      <w:r w:rsidRPr="008044EB">
        <w:rPr>
          <w:rFonts w:ascii="Times New Roman" w:hAnsi="Times New Roman"/>
          <w:b/>
          <w:color w:val="231F20"/>
          <w:lang w:val="pl-PL"/>
        </w:rPr>
        <w:t>li</w:t>
      </w:r>
      <w:r w:rsidRPr="008044EB">
        <w:rPr>
          <w:rFonts w:ascii="Times New Roman" w:hAnsi="Times New Roman"/>
          <w:b/>
          <w:color w:val="231F20"/>
          <w:lang w:val="pl-PL"/>
        </w:rPr>
        <w:t>cznym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Od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prawa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prywat</w:t>
      </w:r>
      <w:r w:rsidRPr="008044EB">
        <w:rPr>
          <w:rFonts w:ascii="Times New Roman"/>
          <w:b/>
          <w:color w:val="231F20"/>
          <w:lang w:val="pl-PL"/>
        </w:rPr>
        <w:t>ne</w:t>
      </w:r>
      <w:r w:rsidRPr="008044EB">
        <w:rPr>
          <w:rFonts w:ascii="Times New Roman"/>
          <w:b/>
          <w:color w:val="231F20"/>
          <w:lang w:val="pl-PL"/>
        </w:rPr>
        <w:t>g</w:t>
      </w:r>
      <w:r w:rsidRPr="008044EB">
        <w:rPr>
          <w:rFonts w:ascii="Times New Roman"/>
          <w:b/>
          <w:color w:val="231F20"/>
          <w:lang w:val="pl-PL"/>
        </w:rPr>
        <w:t>o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do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prawa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publicznego</w:t>
      </w:r>
      <w:r w:rsidRPr="008044EB">
        <w:rPr>
          <w:rFonts w:ascii="Times New Roman"/>
          <w:b/>
          <w:color w:val="231F20"/>
          <w:lang w:val="pl-PL"/>
        </w:rPr>
        <w:tab/>
      </w:r>
      <w:r w:rsidRPr="008044EB">
        <w:rPr>
          <w:rFonts w:ascii="Times New Roman"/>
          <w:b/>
          <w:color w:val="231F20"/>
          <w:lang w:val="pl-PL"/>
        </w:rPr>
        <w:t>93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Stan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natury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>edle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Kanta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93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Pos</w:t>
      </w:r>
      <w:r w:rsidRPr="008044EB">
        <w:rPr>
          <w:rFonts w:ascii="Garamond"/>
          <w:color w:val="231F20"/>
          <w:lang w:val="pl-PL"/>
        </w:rPr>
        <w:t>tulat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publicznego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97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p</w:t>
      </w:r>
      <w:r w:rsidRPr="008044EB">
        <w:rPr>
          <w:rFonts w:ascii="Garamond" w:hAnsi="Garamond"/>
          <w:color w:val="231F20"/>
          <w:lang w:val="pl-PL"/>
        </w:rPr>
        <w:t>ra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iedli</w:t>
      </w:r>
      <w:r w:rsidRPr="008044EB">
        <w:rPr>
          <w:rFonts w:ascii="Garamond" w:hAnsi="Garamond"/>
          <w:color w:val="231F20"/>
          <w:lang w:val="pl-PL"/>
        </w:rPr>
        <w:t>woś</w:t>
      </w:r>
      <w:r w:rsidRPr="008044EB">
        <w:rPr>
          <w:rFonts w:ascii="Garamond" w:hAnsi="Garamond"/>
          <w:color w:val="231F20"/>
          <w:lang w:val="pl-PL"/>
        </w:rPr>
        <w:t xml:space="preserve">ć w 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tanie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</w:t>
      </w:r>
      <w:r w:rsidRPr="008044EB">
        <w:rPr>
          <w:rFonts w:ascii="Garamond" w:hAnsi="Garamond"/>
          <w:color w:val="231F20"/>
          <w:lang w:val="pl-PL"/>
        </w:rPr>
        <w:t>r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n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m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98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Uni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er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alno</w:t>
      </w:r>
      <w:r w:rsidRPr="008044EB">
        <w:rPr>
          <w:rFonts w:ascii="Garamond" w:hAnsi="Garamond"/>
          <w:color w:val="231F20"/>
          <w:lang w:val="pl-PL"/>
        </w:rPr>
        <w:t>ś</w:t>
      </w:r>
      <w:r w:rsidRPr="008044EB">
        <w:rPr>
          <w:rFonts w:ascii="Garamond" w:hAnsi="Garamond"/>
          <w:color w:val="231F20"/>
          <w:lang w:val="pl-PL"/>
        </w:rPr>
        <w:t>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tanu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prawnego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100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proofErr w:type="spellStart"/>
      <w:r w:rsidRPr="008044EB">
        <w:rPr>
          <w:rFonts w:ascii="Garamond"/>
          <w:i/>
          <w:color w:val="231F20"/>
          <w:lang w:val="pl-PL"/>
        </w:rPr>
        <w:t>Constitutio</w:t>
      </w:r>
      <w:proofErr w:type="spellEnd"/>
      <w:r w:rsidRPr="008044EB">
        <w:rPr>
          <w:rFonts w:ascii="Garamond"/>
          <w:i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publiczne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101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i/>
          <w:color w:val="231F20"/>
          <w:lang w:val="pl-PL"/>
        </w:rPr>
        <w:t>L</w:t>
      </w:r>
      <w:r w:rsidRPr="008044EB">
        <w:rPr>
          <w:rFonts w:ascii="Garamond"/>
          <w:i/>
          <w:color w:val="231F20"/>
          <w:lang w:val="pl-PL"/>
        </w:rPr>
        <w:t>e</w:t>
      </w:r>
      <w:r w:rsidRPr="008044EB">
        <w:rPr>
          <w:rFonts w:ascii="Garamond"/>
          <w:i/>
          <w:color w:val="231F20"/>
          <w:lang w:val="pl-PL"/>
        </w:rPr>
        <w:t>x</w:t>
      </w:r>
      <w:r w:rsidRPr="008044EB">
        <w:rPr>
          <w:rFonts w:ascii="Garamond"/>
          <w:i/>
          <w:color w:val="231F20"/>
          <w:lang w:val="pl-PL"/>
        </w:rPr>
        <w:t xml:space="preserve"> </w:t>
      </w:r>
      <w:proofErr w:type="spellStart"/>
      <w:r w:rsidRPr="008044EB">
        <w:rPr>
          <w:rFonts w:ascii="Garamond"/>
          <w:i/>
          <w:color w:val="231F20"/>
          <w:lang w:val="pl-PL"/>
        </w:rPr>
        <w:t>permissiva</w:t>
      </w:r>
      <w:proofErr w:type="spellEnd"/>
      <w:r w:rsidRPr="008044EB">
        <w:rPr>
          <w:rFonts w:ascii="Garamond"/>
          <w:i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publiczne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103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Pań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idei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republikanizm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106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Suweren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idea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kontraktu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107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Formy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r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ąd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enia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formy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</w:t>
      </w:r>
      <w:r w:rsidRPr="008044EB">
        <w:rPr>
          <w:rFonts w:ascii="Garamond" w:hAnsi="Garamond"/>
          <w:color w:val="231F20"/>
          <w:lang w:val="pl-PL"/>
        </w:rPr>
        <w:t>an</w:t>
      </w:r>
      <w:r w:rsidRPr="008044EB">
        <w:rPr>
          <w:rFonts w:ascii="Garamond" w:hAnsi="Garamond"/>
          <w:color w:val="231F20"/>
          <w:lang w:val="pl-PL"/>
        </w:rPr>
        <w:t>ow</w:t>
      </w:r>
      <w:r w:rsidRPr="008044EB">
        <w:rPr>
          <w:rFonts w:ascii="Garamond" w:hAnsi="Garamond"/>
          <w:color w:val="231F20"/>
          <w:lang w:val="pl-PL"/>
        </w:rPr>
        <w:t>ania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108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lastRenderedPageBreak/>
        <w:t>Stan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o</w:t>
      </w:r>
      <w:r w:rsidRPr="008044EB">
        <w:rPr>
          <w:rFonts w:ascii="Garamond"/>
          <w:color w:val="231F20"/>
          <w:lang w:val="pl-PL"/>
        </w:rPr>
        <w:t>b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>atel</w:t>
      </w:r>
      <w:r w:rsidRPr="008044EB">
        <w:rPr>
          <w:rFonts w:ascii="Garamond"/>
          <w:color w:val="231F20"/>
          <w:lang w:val="pl-PL"/>
        </w:rPr>
        <w:t>sk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111</w:t>
      </w:r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zdz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V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Nauka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rawa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zastosowana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do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warunk</w:t>
      </w:r>
      <w:r w:rsidRPr="008044EB">
        <w:rPr>
          <w:rFonts w:ascii="Times New Roman" w:hAnsi="Times New Roman"/>
          <w:b/>
          <w:color w:val="231F20"/>
          <w:lang w:val="pl-PL"/>
        </w:rPr>
        <w:t>ó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doświadcze</w:t>
      </w:r>
      <w:r w:rsidRPr="008044EB">
        <w:rPr>
          <w:rFonts w:ascii="Times New Roman"/>
          <w:b/>
          <w:color w:val="231F20"/>
          <w:lang w:val="pl-PL"/>
        </w:rPr>
        <w:t>ni</w:t>
      </w:r>
      <w:r w:rsidRPr="008044EB">
        <w:rPr>
          <w:rFonts w:ascii="Times New Roman"/>
          <w:b/>
          <w:color w:val="231F20"/>
          <w:lang w:val="pl-PL"/>
        </w:rPr>
        <w:t>a</w:t>
      </w:r>
      <w:r w:rsidRPr="008044EB">
        <w:rPr>
          <w:rFonts w:ascii="Times New Roman"/>
          <w:b/>
          <w:color w:val="231F20"/>
          <w:lang w:val="pl-PL"/>
        </w:rPr>
        <w:t>.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Od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stanu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n</w:t>
      </w:r>
      <w:r w:rsidRPr="008044EB">
        <w:rPr>
          <w:rFonts w:ascii="Times New Roman"/>
          <w:b/>
          <w:color w:val="231F20"/>
          <w:lang w:val="pl-PL"/>
        </w:rPr>
        <w:t>a</w:t>
      </w:r>
      <w:r w:rsidRPr="008044EB">
        <w:rPr>
          <w:rFonts w:ascii="Times New Roman"/>
          <w:b/>
          <w:color w:val="231F20"/>
          <w:lang w:val="pl-PL"/>
        </w:rPr>
        <w:t>t</w:t>
      </w:r>
      <w:r w:rsidRPr="008044EB">
        <w:rPr>
          <w:rFonts w:ascii="Times New Roman"/>
          <w:b/>
          <w:color w:val="231F20"/>
          <w:lang w:val="pl-PL"/>
        </w:rPr>
        <w:t>ury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do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stanu</w:t>
      </w:r>
      <w:r w:rsidRPr="008044EB">
        <w:rPr>
          <w:rFonts w:ascii="Times New Roman"/>
          <w:b/>
          <w:color w:val="231F20"/>
          <w:lang w:val="pl-PL"/>
        </w:rPr>
        <w:t xml:space="preserve"> </w:t>
      </w:r>
      <w:r w:rsidRPr="008044EB">
        <w:rPr>
          <w:rFonts w:ascii="Times New Roman"/>
          <w:b/>
          <w:color w:val="231F20"/>
          <w:lang w:val="pl-PL"/>
        </w:rPr>
        <w:t>prawnego</w:t>
      </w:r>
      <w:r w:rsidRPr="008044EB">
        <w:rPr>
          <w:rFonts w:ascii="Times New Roman"/>
          <w:b/>
          <w:color w:val="231F20"/>
          <w:lang w:val="pl-PL"/>
        </w:rPr>
        <w:tab/>
      </w:r>
      <w:r w:rsidRPr="008044EB">
        <w:rPr>
          <w:rFonts w:ascii="Times New Roman"/>
          <w:b/>
          <w:color w:val="231F20"/>
          <w:lang w:val="pl-PL"/>
        </w:rPr>
        <w:t>115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eastAsia="Garamond" w:hAnsi="Garamond" w:cs="Garamond"/>
          <w:color w:val="231F20"/>
          <w:lang w:val="pl-PL"/>
        </w:rPr>
        <w:t>Prawo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</w:t>
      </w:r>
      <w:r w:rsidRPr="008044EB">
        <w:rPr>
          <w:rFonts w:ascii="Garamond" w:eastAsia="Garamond" w:hAnsi="Garamond" w:cs="Garamond"/>
          <w:color w:val="231F20"/>
          <w:lang w:val="pl-PL"/>
        </w:rPr>
        <w:t>ań</w:t>
      </w:r>
      <w:r w:rsidRPr="008044EB">
        <w:rPr>
          <w:rFonts w:ascii="Garamond" w:eastAsia="Garamond" w:hAnsi="Garamond" w:cs="Garamond"/>
          <w:color w:val="231F20"/>
          <w:lang w:val="pl-PL"/>
        </w:rPr>
        <w:t>s</w:t>
      </w:r>
      <w:r w:rsidRPr="008044EB">
        <w:rPr>
          <w:rFonts w:ascii="Garamond" w:eastAsia="Garamond" w:hAnsi="Garamond" w:cs="Garamond"/>
          <w:color w:val="231F20"/>
          <w:lang w:val="pl-PL"/>
        </w:rPr>
        <w:t>t</w:t>
      </w:r>
      <w:r w:rsidRPr="008044EB">
        <w:rPr>
          <w:rFonts w:ascii="Garamond" w:eastAsia="Garamond" w:hAnsi="Garamond" w:cs="Garamond"/>
          <w:color w:val="231F20"/>
          <w:lang w:val="pl-PL"/>
        </w:rPr>
        <w:t>wow</w:t>
      </w:r>
      <w:r w:rsidRPr="008044EB">
        <w:rPr>
          <w:rFonts w:ascii="Garamond" w:eastAsia="Garamond" w:hAnsi="Garamond" w:cs="Garamond"/>
          <w:color w:val="231F20"/>
          <w:lang w:val="pl-PL"/>
        </w:rPr>
        <w:t>e –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pań</w:t>
      </w:r>
      <w:r w:rsidRPr="008044EB">
        <w:rPr>
          <w:rFonts w:ascii="Garamond" w:eastAsia="Garamond" w:hAnsi="Garamond" w:cs="Garamond"/>
          <w:color w:val="231F20"/>
          <w:lang w:val="pl-PL"/>
        </w:rPr>
        <w:t>s</w:t>
      </w:r>
      <w:r w:rsidRPr="008044EB">
        <w:rPr>
          <w:rFonts w:ascii="Garamond" w:eastAsia="Garamond" w:hAnsi="Garamond" w:cs="Garamond"/>
          <w:color w:val="231F20"/>
          <w:lang w:val="pl-PL"/>
        </w:rPr>
        <w:t>t</w:t>
      </w:r>
      <w:r w:rsidRPr="008044EB">
        <w:rPr>
          <w:rFonts w:ascii="Garamond" w:eastAsia="Garamond" w:hAnsi="Garamond" w:cs="Garamond"/>
          <w:color w:val="231F20"/>
          <w:lang w:val="pl-PL"/>
        </w:rPr>
        <w:t>w</w:t>
      </w:r>
      <w:r w:rsidRPr="008044EB">
        <w:rPr>
          <w:rFonts w:ascii="Garamond" w:eastAsia="Garamond" w:hAnsi="Garamond" w:cs="Garamond"/>
          <w:color w:val="231F20"/>
          <w:lang w:val="pl-PL"/>
        </w:rPr>
        <w:t>o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wobec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poddanych</w:t>
      </w:r>
      <w:r w:rsidRPr="008044EB">
        <w:rPr>
          <w:rFonts w:ascii="Garamond" w:eastAsia="Garamond" w:hAnsi="Garamond" w:cs="Garamond"/>
          <w:color w:val="231F20"/>
          <w:lang w:val="pl-PL"/>
        </w:rPr>
        <w:tab/>
      </w:r>
      <w:r w:rsidRPr="008044EB">
        <w:rPr>
          <w:rFonts w:ascii="Garamond" w:eastAsia="Garamond" w:hAnsi="Garamond" w:cs="Garamond"/>
          <w:color w:val="231F20"/>
          <w:lang w:val="pl-PL"/>
        </w:rPr>
        <w:t>116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Pań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ja</w:t>
      </w:r>
      <w:r w:rsidRPr="008044EB">
        <w:rPr>
          <w:rFonts w:ascii="Garamond" w:hAnsi="Garamond"/>
          <w:color w:val="231F20"/>
          <w:lang w:val="pl-PL"/>
        </w:rPr>
        <w:t>ko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osoba</w:t>
      </w:r>
      <w:r w:rsidRPr="008044EB">
        <w:rPr>
          <w:rFonts w:ascii="Garamond" w:hAnsi="Garamond"/>
          <w:color w:val="231F20"/>
          <w:lang w:val="pl-PL"/>
        </w:rPr>
        <w:t xml:space="preserve"> m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ralna</w:t>
      </w:r>
      <w:r w:rsidRPr="008044EB">
        <w:rPr>
          <w:rFonts w:ascii="Garamond" w:hAnsi="Garamond"/>
          <w:color w:val="231F20"/>
          <w:lang w:val="pl-PL"/>
        </w:rPr>
        <w:t>.</w:t>
      </w:r>
      <w:r w:rsidRPr="008044EB">
        <w:rPr>
          <w:rFonts w:ascii="Garamond" w:hAnsi="Garamond"/>
          <w:color w:val="231F20"/>
          <w:lang w:val="pl-PL"/>
        </w:rPr>
        <w:t xml:space="preserve"> Suwerenność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 xml:space="preserve">u </w:t>
      </w:r>
      <w:r w:rsidRPr="008044EB">
        <w:rPr>
          <w:rFonts w:ascii="Garamond" w:hAnsi="Garamond"/>
          <w:color w:val="231F20"/>
          <w:lang w:val="pl-PL"/>
        </w:rPr>
        <w:t>K</w:t>
      </w:r>
      <w:r w:rsidRPr="008044EB">
        <w:rPr>
          <w:rFonts w:ascii="Garamond" w:hAnsi="Garamond"/>
          <w:color w:val="231F20"/>
          <w:lang w:val="pl-PL"/>
        </w:rPr>
        <w:t>anta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121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Prawo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międzynarodowe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123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Stan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natury</w:t>
      </w:r>
      <w:r w:rsidRPr="008044EB">
        <w:rPr>
          <w:rFonts w:ascii="Garamond" w:hAnsi="Garamond"/>
          <w:color w:val="231F20"/>
          <w:lang w:val="pl-PL"/>
        </w:rPr>
        <w:t xml:space="preserve"> międ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 xml:space="preserve">y </w:t>
      </w:r>
      <w:r w:rsidRPr="008044EB">
        <w:rPr>
          <w:rFonts w:ascii="Garamond" w:hAnsi="Garamond"/>
          <w:color w:val="231F20"/>
          <w:lang w:val="pl-PL"/>
        </w:rPr>
        <w:t>państwami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123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s</w:t>
      </w:r>
      <w:r w:rsidRPr="008044EB">
        <w:rPr>
          <w:rFonts w:ascii="Garamond"/>
          <w:color w:val="231F20"/>
          <w:lang w:val="pl-PL"/>
        </w:rPr>
        <w:t>tanie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natury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125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Stan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prawny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międ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narodami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129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Prawo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kosmopolityczne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134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Prawo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z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ięgu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glo</w:t>
      </w:r>
      <w:r w:rsidRPr="008044EB">
        <w:rPr>
          <w:rFonts w:ascii="Garamond" w:hAnsi="Garamond"/>
          <w:color w:val="231F20"/>
          <w:lang w:val="pl-PL"/>
        </w:rPr>
        <w:t>b</w:t>
      </w:r>
      <w:r w:rsidRPr="008044EB">
        <w:rPr>
          <w:rFonts w:ascii="Garamond" w:hAnsi="Garamond"/>
          <w:color w:val="231F20"/>
          <w:lang w:val="pl-PL"/>
        </w:rPr>
        <w:t>alnym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135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hAnsi="Garamond"/>
          <w:color w:val="231F20"/>
          <w:lang w:val="pl-PL"/>
        </w:rPr>
        <w:t>I</w:t>
      </w:r>
      <w:r w:rsidRPr="008044EB">
        <w:rPr>
          <w:rFonts w:ascii="Garamond" w:hAnsi="Garamond"/>
          <w:color w:val="231F20"/>
          <w:lang w:val="pl-PL"/>
        </w:rPr>
        <w:t>dea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>b</w:t>
      </w:r>
      <w:r w:rsidRPr="008044EB">
        <w:rPr>
          <w:rFonts w:ascii="Garamond" w:hAnsi="Garamond"/>
          <w:color w:val="231F20"/>
          <w:lang w:val="pl-PL"/>
        </w:rPr>
        <w:t>y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atel</w:t>
      </w:r>
      <w:r w:rsidRPr="008044EB">
        <w:rPr>
          <w:rFonts w:ascii="Garamond" w:hAnsi="Garamond"/>
          <w:color w:val="231F20"/>
          <w:lang w:val="pl-PL"/>
        </w:rPr>
        <w:t>s</w:t>
      </w:r>
      <w:r w:rsidRPr="008044EB">
        <w:rPr>
          <w:rFonts w:ascii="Garamond" w:hAnsi="Garamond"/>
          <w:color w:val="231F20"/>
          <w:lang w:val="pl-PL"/>
        </w:rPr>
        <w:t>t</w:t>
      </w:r>
      <w:r w:rsidRPr="008044EB">
        <w:rPr>
          <w:rFonts w:ascii="Garamond" w:hAnsi="Garamond"/>
          <w:color w:val="231F20"/>
          <w:lang w:val="pl-PL"/>
        </w:rPr>
        <w:t>w</w:t>
      </w:r>
      <w:r w:rsidRPr="008044EB">
        <w:rPr>
          <w:rFonts w:ascii="Garamond" w:hAnsi="Garamond"/>
          <w:color w:val="231F20"/>
          <w:lang w:val="pl-PL"/>
        </w:rPr>
        <w:t>a</w:t>
      </w:r>
      <w:r w:rsidRPr="008044EB">
        <w:rPr>
          <w:rFonts w:ascii="Garamond" w:hAnsi="Garamond"/>
          <w:color w:val="231F20"/>
          <w:lang w:val="pl-PL"/>
        </w:rPr>
        <w:t xml:space="preserve"> </w:t>
      </w:r>
      <w:r w:rsidRPr="008044EB">
        <w:rPr>
          <w:rFonts w:ascii="Garamond" w:hAnsi="Garamond"/>
          <w:color w:val="231F20"/>
          <w:lang w:val="pl-PL"/>
        </w:rPr>
        <w:t>św</w:t>
      </w:r>
      <w:r w:rsidRPr="008044EB">
        <w:rPr>
          <w:rFonts w:ascii="Garamond" w:hAnsi="Garamond"/>
          <w:color w:val="231F20"/>
          <w:lang w:val="pl-PL"/>
        </w:rPr>
        <w:t>iat</w:t>
      </w:r>
      <w:r w:rsidRPr="008044EB">
        <w:rPr>
          <w:rFonts w:ascii="Garamond" w:hAnsi="Garamond"/>
          <w:color w:val="231F20"/>
          <w:lang w:val="pl-PL"/>
        </w:rPr>
        <w:t>ow</w:t>
      </w:r>
      <w:r w:rsidRPr="008044EB">
        <w:rPr>
          <w:rFonts w:ascii="Garamond" w:hAnsi="Garamond"/>
          <w:color w:val="231F20"/>
          <w:lang w:val="pl-PL"/>
        </w:rPr>
        <w:t>eg</w:t>
      </w:r>
      <w:r w:rsidRPr="008044EB">
        <w:rPr>
          <w:rFonts w:ascii="Garamond" w:hAnsi="Garamond"/>
          <w:color w:val="231F20"/>
          <w:lang w:val="pl-PL"/>
        </w:rPr>
        <w:t>o</w:t>
      </w:r>
      <w:r w:rsidRPr="008044EB">
        <w:rPr>
          <w:rFonts w:ascii="Garamond" w:hAnsi="Garamond"/>
          <w:color w:val="231F20"/>
          <w:lang w:val="pl-PL"/>
        </w:rPr>
        <w:tab/>
      </w:r>
      <w:r w:rsidRPr="008044EB">
        <w:rPr>
          <w:rFonts w:ascii="Garamond" w:hAnsi="Garamond"/>
          <w:color w:val="231F20"/>
          <w:lang w:val="pl-PL"/>
        </w:rPr>
        <w:t>136</w:t>
      </w:r>
    </w:p>
    <w:p w:rsidR="006435C5" w:rsidRPr="008044EB" w:rsidRDefault="006435C5" w:rsidP="008044EB">
      <w:pPr>
        <w:ind w:left="567" w:right="-1" w:hanging="567"/>
        <w:rPr>
          <w:rFonts w:ascii="Times New Roman" w:hAnsi="Times New Roman"/>
          <w:b/>
          <w:color w:val="231F20"/>
          <w:lang w:val="pl-PL"/>
        </w:rPr>
      </w:pPr>
    </w:p>
    <w:p w:rsidR="00804662" w:rsidRPr="008044EB" w:rsidRDefault="008044EB" w:rsidP="008044EB">
      <w:pPr>
        <w:ind w:left="567" w:right="-1" w:hanging="567"/>
        <w:rPr>
          <w:rFonts w:ascii="Times New Roman" w:eastAsia="Times New Roman" w:hAnsi="Times New Roman" w:cs="Times New Roman"/>
          <w:lang w:val="pl-PL"/>
        </w:rPr>
      </w:pPr>
      <w:r w:rsidRPr="008044EB">
        <w:rPr>
          <w:rFonts w:ascii="Times New Roman" w:hAnsi="Times New Roman"/>
          <w:b/>
          <w:color w:val="231F20"/>
          <w:lang w:val="pl-PL"/>
        </w:rPr>
        <w:t>R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zdz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ł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VI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U</w:t>
      </w:r>
      <w:r w:rsidRPr="008044EB">
        <w:rPr>
          <w:rFonts w:ascii="Times New Roman" w:hAnsi="Times New Roman"/>
          <w:b/>
          <w:color w:val="231F20"/>
          <w:lang w:val="pl-PL"/>
        </w:rPr>
        <w:t>n</w:t>
      </w:r>
      <w:r w:rsidRPr="008044EB">
        <w:rPr>
          <w:rFonts w:ascii="Times New Roman" w:hAnsi="Times New Roman"/>
          <w:b/>
          <w:color w:val="231F20"/>
          <w:lang w:val="pl-PL"/>
        </w:rPr>
        <w:t>i</w:t>
      </w:r>
      <w:r w:rsidRPr="008044EB">
        <w:rPr>
          <w:rFonts w:ascii="Times New Roman" w:hAnsi="Times New Roman"/>
          <w:b/>
          <w:color w:val="231F20"/>
          <w:lang w:val="pl-PL"/>
        </w:rPr>
        <w:t>wer</w:t>
      </w:r>
      <w:r w:rsidRPr="008044EB">
        <w:rPr>
          <w:rFonts w:ascii="Times New Roman" w:hAnsi="Times New Roman"/>
          <w:b/>
          <w:color w:val="231F20"/>
          <w:lang w:val="pl-PL"/>
        </w:rPr>
        <w:t>s</w:t>
      </w:r>
      <w:r w:rsidRPr="008044EB">
        <w:rPr>
          <w:rFonts w:ascii="Times New Roman" w:hAnsi="Times New Roman"/>
          <w:b/>
          <w:color w:val="231F20"/>
          <w:lang w:val="pl-PL"/>
        </w:rPr>
        <w:t>a</w:t>
      </w:r>
      <w:r w:rsidRPr="008044EB">
        <w:rPr>
          <w:rFonts w:ascii="Times New Roman" w:hAnsi="Times New Roman"/>
          <w:b/>
          <w:color w:val="231F20"/>
          <w:lang w:val="pl-PL"/>
        </w:rPr>
        <w:t>l</w:t>
      </w:r>
      <w:r w:rsidRPr="008044EB">
        <w:rPr>
          <w:rFonts w:ascii="Times New Roman" w:hAnsi="Times New Roman"/>
          <w:b/>
          <w:color w:val="231F20"/>
          <w:lang w:val="pl-PL"/>
        </w:rPr>
        <w:t>ny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st</w:t>
      </w:r>
      <w:r w:rsidRPr="008044EB">
        <w:rPr>
          <w:rFonts w:ascii="Times New Roman" w:hAnsi="Times New Roman"/>
          <w:b/>
          <w:color w:val="231F20"/>
          <w:lang w:val="pl-PL"/>
        </w:rPr>
        <w:t>an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</w:t>
      </w:r>
      <w:r w:rsidRPr="008044EB">
        <w:rPr>
          <w:rFonts w:ascii="Times New Roman" w:hAnsi="Times New Roman"/>
          <w:b/>
          <w:color w:val="231F20"/>
          <w:lang w:val="pl-PL"/>
        </w:rPr>
        <w:t>raw</w:t>
      </w:r>
      <w:r w:rsidRPr="008044EB">
        <w:rPr>
          <w:rFonts w:ascii="Times New Roman" w:hAnsi="Times New Roman"/>
          <w:b/>
          <w:color w:val="231F20"/>
          <w:lang w:val="pl-PL"/>
        </w:rPr>
        <w:t>n</w:t>
      </w:r>
      <w:r w:rsidRPr="008044EB">
        <w:rPr>
          <w:rFonts w:ascii="Times New Roman" w:hAnsi="Times New Roman"/>
          <w:b/>
          <w:color w:val="231F20"/>
          <w:lang w:val="pl-PL"/>
        </w:rPr>
        <w:t>y</w:t>
      </w:r>
      <w:r w:rsidRPr="008044EB">
        <w:rPr>
          <w:rFonts w:ascii="Times New Roman" w:hAnsi="Times New Roman"/>
          <w:b/>
          <w:color w:val="231F20"/>
          <w:lang w:val="pl-PL"/>
        </w:rPr>
        <w:t>.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w</w:t>
      </w:r>
      <w:r w:rsidRPr="008044EB">
        <w:rPr>
          <w:rFonts w:ascii="Times New Roman" w:hAnsi="Times New Roman"/>
          <w:b/>
          <w:color w:val="231F20"/>
          <w:lang w:val="pl-PL"/>
        </w:rPr>
        <w:t>ie</w:t>
      </w:r>
      <w:r w:rsidRPr="008044EB">
        <w:rPr>
          <w:rFonts w:ascii="Times New Roman" w:hAnsi="Times New Roman"/>
          <w:b/>
          <w:color w:val="231F20"/>
          <w:lang w:val="pl-PL"/>
        </w:rPr>
        <w:t>cznym</w:t>
      </w:r>
      <w:r w:rsidRPr="008044EB">
        <w:rPr>
          <w:rFonts w:ascii="Times New Roman" w:hAnsi="Times New Roman"/>
          <w:b/>
          <w:color w:val="231F20"/>
          <w:lang w:val="pl-PL"/>
        </w:rPr>
        <w:t xml:space="preserve"> </w:t>
      </w:r>
      <w:r w:rsidRPr="008044EB">
        <w:rPr>
          <w:rFonts w:ascii="Times New Roman" w:hAnsi="Times New Roman"/>
          <w:b/>
          <w:color w:val="231F20"/>
          <w:lang w:val="pl-PL"/>
        </w:rPr>
        <w:t>po</w:t>
      </w:r>
      <w:r w:rsidRPr="008044EB">
        <w:rPr>
          <w:rFonts w:ascii="Times New Roman" w:hAnsi="Times New Roman"/>
          <w:b/>
          <w:color w:val="231F20"/>
          <w:lang w:val="pl-PL"/>
        </w:rPr>
        <w:t>k</w:t>
      </w:r>
      <w:r w:rsidRPr="008044EB">
        <w:rPr>
          <w:rFonts w:ascii="Times New Roman" w:hAnsi="Times New Roman"/>
          <w:b/>
          <w:color w:val="231F20"/>
          <w:lang w:val="pl-PL"/>
        </w:rPr>
        <w:t>o</w:t>
      </w:r>
      <w:r w:rsidRPr="008044EB">
        <w:rPr>
          <w:rFonts w:ascii="Times New Roman" w:hAnsi="Times New Roman"/>
          <w:b/>
          <w:color w:val="231F20"/>
          <w:lang w:val="pl-PL"/>
        </w:rPr>
        <w:t>j</w:t>
      </w:r>
      <w:r w:rsidRPr="008044EB">
        <w:rPr>
          <w:rFonts w:ascii="Times New Roman" w:hAnsi="Times New Roman"/>
          <w:b/>
          <w:color w:val="231F20"/>
          <w:lang w:val="pl-PL"/>
        </w:rPr>
        <w:t>u</w:t>
      </w:r>
      <w:r w:rsidRPr="008044EB">
        <w:rPr>
          <w:rFonts w:ascii="Times New Roman" w:hAnsi="Times New Roman"/>
          <w:b/>
          <w:color w:val="231F20"/>
          <w:lang w:val="pl-PL"/>
        </w:rPr>
        <w:tab/>
      </w:r>
      <w:r w:rsidRPr="008044EB">
        <w:rPr>
          <w:rFonts w:ascii="Times New Roman" w:hAnsi="Times New Roman"/>
          <w:b/>
          <w:color w:val="231F20"/>
          <w:lang w:val="pl-PL"/>
        </w:rPr>
        <w:t>139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 w:eastAsia="Garamond" w:hAnsi="Garamond" w:cs="Garamond"/>
          <w:color w:val="231F20"/>
          <w:lang w:val="pl-PL"/>
        </w:rPr>
        <w:t>I</w:t>
      </w:r>
      <w:r w:rsidRPr="008044EB">
        <w:rPr>
          <w:rFonts w:ascii="Garamond" w:eastAsia="Garamond" w:hAnsi="Garamond" w:cs="Garamond"/>
          <w:color w:val="231F20"/>
          <w:lang w:val="pl-PL"/>
        </w:rPr>
        <w:t>dea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„wiecznego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pokoju</w:t>
      </w:r>
      <w:r w:rsidRPr="008044EB">
        <w:rPr>
          <w:rFonts w:ascii="Garamond" w:eastAsia="Garamond" w:hAnsi="Garamond" w:cs="Garamond"/>
          <w:color w:val="231F20"/>
          <w:lang w:val="pl-PL"/>
        </w:rPr>
        <w:t>”</w:t>
      </w:r>
      <w:r w:rsidRPr="008044EB">
        <w:rPr>
          <w:rFonts w:ascii="Garamond" w:eastAsia="Garamond" w:hAnsi="Garamond" w:cs="Garamond"/>
          <w:color w:val="231F20"/>
          <w:lang w:val="pl-PL"/>
        </w:rPr>
        <w:tab/>
      </w:r>
      <w:r w:rsidRPr="008044EB">
        <w:rPr>
          <w:rFonts w:ascii="Garamond" w:eastAsia="Garamond" w:hAnsi="Garamond" w:cs="Garamond"/>
          <w:color w:val="231F20"/>
          <w:lang w:val="pl-PL"/>
        </w:rPr>
        <w:t>139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color w:val="231F20"/>
          <w:lang w:val="pl-PL"/>
        </w:rPr>
      </w:pPr>
      <w:r w:rsidRPr="008044EB">
        <w:rPr>
          <w:rFonts w:ascii="Garamond" w:eastAsia="Garamond" w:hAnsi="Garamond" w:cs="Garamond"/>
          <w:color w:val="231F20"/>
          <w:lang w:val="pl-PL"/>
        </w:rPr>
        <w:t>Stan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prawny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i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pos</w:t>
      </w:r>
      <w:r w:rsidRPr="008044EB">
        <w:rPr>
          <w:rFonts w:ascii="Garamond" w:eastAsia="Garamond" w:hAnsi="Garamond" w:cs="Garamond"/>
          <w:color w:val="231F20"/>
          <w:lang w:val="pl-PL"/>
        </w:rPr>
        <w:t>tulat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„wiecznego</w:t>
      </w:r>
      <w:r w:rsidRPr="008044EB">
        <w:rPr>
          <w:rFonts w:ascii="Garamond" w:eastAsia="Garamond" w:hAnsi="Garamond" w:cs="Garamond"/>
          <w:color w:val="231F20"/>
          <w:lang w:val="pl-PL"/>
        </w:rPr>
        <w:t xml:space="preserve"> </w:t>
      </w:r>
      <w:r w:rsidRPr="008044EB">
        <w:rPr>
          <w:rFonts w:ascii="Garamond" w:eastAsia="Garamond" w:hAnsi="Garamond" w:cs="Garamond"/>
          <w:color w:val="231F20"/>
          <w:lang w:val="pl-PL"/>
        </w:rPr>
        <w:t>pokoju</w:t>
      </w:r>
      <w:r>
        <w:rPr>
          <w:rFonts w:ascii="Garamond" w:eastAsia="Garamond" w:hAnsi="Garamond" w:cs="Garamond"/>
          <w:color w:val="231F20"/>
          <w:lang w:val="pl-PL"/>
        </w:rPr>
        <w:t>”</w:t>
      </w:r>
      <w:r w:rsidRPr="008044EB">
        <w:rPr>
          <w:rFonts w:ascii="Garamond" w:eastAsia="Garamond" w:hAnsi="Garamond" w:cs="Garamond"/>
          <w:color w:val="231F20"/>
          <w:lang w:val="pl-PL"/>
        </w:rPr>
        <w:tab/>
      </w:r>
      <w:r w:rsidRPr="008044EB">
        <w:rPr>
          <w:rFonts w:ascii="Garamond" w:eastAsia="Garamond" w:hAnsi="Garamond" w:cs="Garamond"/>
          <w:color w:val="231F20"/>
          <w:lang w:val="pl-PL"/>
        </w:rPr>
        <w:t>140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lang w:val="pl-PL"/>
        </w:rPr>
      </w:pPr>
      <w:r w:rsidRPr="008044EB">
        <w:rPr>
          <w:rFonts w:ascii="Garamond"/>
          <w:color w:val="231F20"/>
          <w:lang w:val="pl-PL"/>
        </w:rPr>
        <w:t>Form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un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>wersalnego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stanu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prawnego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  <w:lang w:val="pl-PL"/>
        </w:rPr>
        <w:t>142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</w:rPr>
      </w:pPr>
      <w:r w:rsidRPr="008044EB">
        <w:rPr>
          <w:rFonts w:ascii="Garamond"/>
          <w:color w:val="231F20"/>
          <w:lang w:val="pl-PL"/>
        </w:rPr>
        <w:t>Un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>wersaln</w:t>
      </w:r>
      <w:r w:rsidRPr="008044EB">
        <w:rPr>
          <w:rFonts w:ascii="Garamond"/>
          <w:color w:val="231F20"/>
          <w:lang w:val="pl-PL"/>
        </w:rPr>
        <w:t>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stan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prawny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w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idei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 xml:space="preserve"> </w:t>
      </w:r>
      <w:r w:rsidRPr="008044EB">
        <w:rPr>
          <w:rFonts w:ascii="Garamond"/>
          <w:color w:val="231F20"/>
          <w:lang w:val="pl-PL"/>
        </w:rPr>
        <w:t>emp</w:t>
      </w:r>
      <w:r w:rsidRPr="008044EB">
        <w:rPr>
          <w:rFonts w:ascii="Garamond"/>
          <w:color w:val="231F20"/>
          <w:lang w:val="pl-PL"/>
        </w:rPr>
        <w:t>i</w:t>
      </w:r>
      <w:r w:rsidRPr="008044EB">
        <w:rPr>
          <w:rFonts w:ascii="Garamond"/>
          <w:color w:val="231F20"/>
          <w:lang w:val="pl-PL"/>
        </w:rPr>
        <w:t>r</w:t>
      </w:r>
      <w:r w:rsidRPr="008044EB">
        <w:rPr>
          <w:rFonts w:ascii="Garamond"/>
          <w:color w:val="231F20"/>
          <w:lang w:val="pl-PL"/>
        </w:rPr>
        <w:t>ii</w:t>
      </w:r>
      <w:r w:rsidRPr="008044EB">
        <w:rPr>
          <w:rFonts w:ascii="Garamond"/>
          <w:color w:val="231F20"/>
          <w:lang w:val="pl-PL"/>
        </w:rPr>
        <w:tab/>
      </w:r>
      <w:r w:rsidRPr="008044EB">
        <w:rPr>
          <w:rFonts w:ascii="Garamond"/>
          <w:color w:val="231F20"/>
        </w:rPr>
        <w:t>145</w:t>
      </w:r>
    </w:p>
    <w:p w:rsidR="006435C5" w:rsidRPr="008044EB" w:rsidRDefault="006435C5" w:rsidP="008044EB">
      <w:pPr>
        <w:ind w:left="567" w:right="-1" w:hanging="567"/>
        <w:rPr>
          <w:rFonts w:ascii="Garamond"/>
          <w:color w:val="231F20"/>
        </w:rPr>
      </w:pP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b/>
          <w:lang w:val="pl-PL"/>
        </w:rPr>
      </w:pPr>
      <w:r w:rsidRPr="008044EB">
        <w:rPr>
          <w:rFonts w:ascii="Garamond"/>
          <w:b/>
          <w:color w:val="231F20"/>
          <w:lang w:val="pl-PL"/>
        </w:rPr>
        <w:t>Bibliografia</w:t>
      </w:r>
      <w:r w:rsidRPr="008044EB">
        <w:rPr>
          <w:rFonts w:ascii="Garamond"/>
          <w:b/>
          <w:color w:val="231F20"/>
          <w:lang w:val="pl-PL"/>
        </w:rPr>
        <w:tab/>
      </w:r>
      <w:r w:rsidRPr="008044EB">
        <w:rPr>
          <w:rFonts w:ascii="Garamond"/>
          <w:b/>
          <w:color w:val="231F20"/>
          <w:lang w:val="pl-PL"/>
        </w:rPr>
        <w:t>149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b/>
          <w:lang w:val="pl-PL"/>
        </w:rPr>
      </w:pPr>
      <w:r w:rsidRPr="008044EB">
        <w:rPr>
          <w:rFonts w:ascii="Garamond" w:hAnsi="Garamond"/>
          <w:b/>
          <w:color w:val="231F20"/>
          <w:lang w:val="pl-PL"/>
        </w:rPr>
        <w:t>Indeks</w:t>
      </w:r>
      <w:r w:rsidRPr="008044EB">
        <w:rPr>
          <w:rFonts w:ascii="Garamond" w:hAnsi="Garamond"/>
          <w:b/>
          <w:color w:val="231F20"/>
          <w:lang w:val="pl-PL"/>
        </w:rPr>
        <w:t xml:space="preserve"> </w:t>
      </w:r>
      <w:r w:rsidRPr="008044EB">
        <w:rPr>
          <w:rFonts w:ascii="Garamond" w:hAnsi="Garamond"/>
          <w:b/>
          <w:color w:val="231F20"/>
          <w:lang w:val="pl-PL"/>
        </w:rPr>
        <w:t>pojęć</w:t>
      </w:r>
      <w:r w:rsidRPr="008044EB">
        <w:rPr>
          <w:rFonts w:ascii="Garamond" w:hAnsi="Garamond"/>
          <w:b/>
          <w:color w:val="231F20"/>
          <w:lang w:val="pl-PL"/>
        </w:rPr>
        <w:tab/>
      </w:r>
      <w:r w:rsidRPr="008044EB">
        <w:rPr>
          <w:rFonts w:ascii="Garamond" w:hAnsi="Garamond"/>
          <w:b/>
          <w:color w:val="231F20"/>
          <w:lang w:val="pl-PL"/>
        </w:rPr>
        <w:t>157</w:t>
      </w:r>
    </w:p>
    <w:p w:rsidR="00804662" w:rsidRPr="008044EB" w:rsidRDefault="008044EB" w:rsidP="008044EB">
      <w:pPr>
        <w:ind w:left="567" w:right="-1" w:hanging="567"/>
        <w:rPr>
          <w:rFonts w:ascii="Garamond" w:eastAsia="Garamond" w:hAnsi="Garamond" w:cs="Garamond"/>
          <w:b/>
          <w:lang w:val="pl-PL"/>
        </w:rPr>
      </w:pPr>
      <w:r w:rsidRPr="008044EB">
        <w:rPr>
          <w:rFonts w:ascii="Garamond"/>
          <w:b/>
          <w:color w:val="231F20"/>
          <w:lang w:val="pl-PL"/>
        </w:rPr>
        <w:t>O</w:t>
      </w:r>
      <w:r w:rsidRPr="008044EB">
        <w:rPr>
          <w:rFonts w:ascii="Garamond"/>
          <w:b/>
          <w:color w:val="231F20"/>
          <w:lang w:val="pl-PL"/>
        </w:rPr>
        <w:t>d</w:t>
      </w:r>
      <w:r w:rsidRPr="008044EB">
        <w:rPr>
          <w:rFonts w:ascii="Garamond"/>
          <w:b/>
          <w:color w:val="231F20"/>
          <w:lang w:val="pl-PL"/>
        </w:rPr>
        <w:t xml:space="preserve"> </w:t>
      </w:r>
      <w:r w:rsidRPr="008044EB">
        <w:rPr>
          <w:rFonts w:ascii="Garamond"/>
          <w:b/>
          <w:color w:val="231F20"/>
          <w:lang w:val="pl-PL"/>
        </w:rPr>
        <w:t>Redakc</w:t>
      </w:r>
      <w:r w:rsidRPr="008044EB">
        <w:rPr>
          <w:rFonts w:ascii="Garamond"/>
          <w:b/>
          <w:color w:val="231F20"/>
          <w:lang w:val="pl-PL"/>
        </w:rPr>
        <w:t>ji</w:t>
      </w:r>
      <w:r w:rsidRPr="008044EB">
        <w:rPr>
          <w:rFonts w:ascii="Garamond"/>
          <w:b/>
          <w:color w:val="231F20"/>
          <w:lang w:val="pl-PL"/>
        </w:rPr>
        <w:tab/>
      </w:r>
      <w:r w:rsidRPr="008044EB">
        <w:rPr>
          <w:rFonts w:ascii="Garamond"/>
          <w:b/>
          <w:color w:val="231F20"/>
          <w:lang w:val="pl-PL"/>
        </w:rPr>
        <w:t>163</w:t>
      </w:r>
    </w:p>
    <w:sectPr w:rsidR="00804662" w:rsidRPr="008044EB" w:rsidSect="008044EB">
      <w:pgSz w:w="9530" w:h="13610"/>
      <w:pgMar w:top="998" w:right="680" w:bottom="278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4662"/>
    <w:rsid w:val="006435C5"/>
    <w:rsid w:val="008044EB"/>
    <w:rsid w:val="008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60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F639DC8D</Template>
  <TotalTime>7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2018-03-09T12:23:00Z</dcterms:created>
  <dcterms:modified xsi:type="dcterms:W3CDTF">2018-03-09T11:30:00Z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2018-03-09T00:00:00Z</vt:filetime>
  </property>
</Properties>
</file>