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3C" w:rsidRPr="005D040A" w:rsidRDefault="005D040A" w:rsidP="005D040A">
      <w:pPr>
        <w:ind w:left="3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Wstęp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9</w:t>
      </w:r>
    </w:p>
    <w:p w:rsidR="00CD6D3C" w:rsidRPr="005D040A" w:rsidRDefault="005D040A" w:rsidP="005D040A">
      <w:pPr>
        <w:numPr>
          <w:ilvl w:val="0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Uwarunkowania prawne dotyczące funkcjonowania bibliotek publicznych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13</w:t>
      </w:r>
    </w:p>
    <w:p w:rsidR="00CD6D3C" w:rsidRPr="005D040A" w:rsidRDefault="005D040A" w:rsidP="005D040A">
      <w:pPr>
        <w:numPr>
          <w:ilvl w:val="1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Standardy i wytyczne międzynarodowe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14</w:t>
      </w:r>
    </w:p>
    <w:p w:rsidR="00CD6D3C" w:rsidRPr="005D040A" w:rsidRDefault="005D040A" w:rsidP="005D040A">
      <w:pPr>
        <w:numPr>
          <w:ilvl w:val="1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Podstawy prawne funkcjonowania bibliotek publicznych w Polsce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17</w:t>
      </w:r>
    </w:p>
    <w:p w:rsidR="00CD6D3C" w:rsidRPr="005D040A" w:rsidRDefault="005D040A" w:rsidP="005D040A">
      <w:pPr>
        <w:numPr>
          <w:ilvl w:val="1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Zadania i funkcje bibliotek publicznych w Polsce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18</w:t>
      </w:r>
    </w:p>
    <w:p w:rsidR="00CD6D3C" w:rsidRPr="005D040A" w:rsidRDefault="005D040A" w:rsidP="005D040A">
      <w:pPr>
        <w:numPr>
          <w:ilvl w:val="0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Łódzkie biblioteki publiczne w ujęciu organizacyjnym i ekonomicznym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21</w:t>
      </w:r>
    </w:p>
    <w:p w:rsidR="00CD6D3C" w:rsidRPr="005D040A" w:rsidRDefault="005D040A" w:rsidP="005D040A">
      <w:pPr>
        <w:numPr>
          <w:ilvl w:val="1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Struktura organizacyjna łódzkich bibliotek publicznych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21</w:t>
      </w:r>
    </w:p>
    <w:p w:rsidR="00CD6D3C" w:rsidRPr="005D040A" w:rsidRDefault="005D040A" w:rsidP="005D040A">
      <w:pPr>
        <w:numPr>
          <w:ilvl w:val="1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Dotacje na łódzkie biblioteki publiczne na tle innych miast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27</w:t>
      </w:r>
    </w:p>
    <w:p w:rsidR="00CD6D3C" w:rsidRPr="005D040A" w:rsidRDefault="005D040A" w:rsidP="005D040A">
      <w:pPr>
        <w:numPr>
          <w:ilvl w:val="1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Łódzki budżet obywatelski a biblioteki publiczne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28</w:t>
      </w:r>
    </w:p>
    <w:p w:rsidR="00CD6D3C" w:rsidRPr="005D040A" w:rsidRDefault="005D040A" w:rsidP="005D040A">
      <w:pPr>
        <w:numPr>
          <w:ilvl w:val="0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Gęstość sieci bibliotek publicznych w Łodzi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37</w:t>
      </w:r>
    </w:p>
    <w:p w:rsidR="00CD6D3C" w:rsidRPr="005D040A" w:rsidRDefault="005D040A" w:rsidP="005D040A">
      <w:pPr>
        <w:numPr>
          <w:ilvl w:val="1"/>
          <w:numId w:val="1"/>
        </w:numPr>
        <w:ind w:left="670" w:hanging="357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Charakterystyka gęstości sieci łódzkich bibliotek publicznych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37</w:t>
      </w:r>
    </w:p>
    <w:p w:rsidR="00CD6D3C" w:rsidRPr="005D040A" w:rsidRDefault="005D040A" w:rsidP="005D040A">
      <w:pPr>
        <w:numPr>
          <w:ilvl w:val="1"/>
          <w:numId w:val="1"/>
        </w:numPr>
        <w:ind w:left="670" w:right="108" w:hanging="36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Odległość biblioteki od miejsca zamieszkania jako czynnik determinujący zapisanie się do placówki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45</w:t>
      </w:r>
    </w:p>
    <w:p w:rsidR="00CD6D3C" w:rsidRPr="005D040A" w:rsidRDefault="005D040A" w:rsidP="005D040A">
      <w:pPr>
        <w:numPr>
          <w:ilvl w:val="0"/>
          <w:numId w:val="1"/>
        </w:numPr>
        <w:ind w:left="310" w:hanging="196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Łódzkie biblioteki publiczne w opinii mieszkańców miasta: analiza wyników</w:t>
      </w:r>
      <w:r w:rsidRPr="005D040A">
        <w:rPr>
          <w:rFonts w:ascii="Cambria" w:eastAsia="Garamond" w:hAnsi="Cambria" w:cs="Garamond"/>
          <w:sz w:val="20"/>
          <w:szCs w:val="20"/>
          <w:lang w:val="pl-PL"/>
        </w:rPr>
        <w:t xml:space="preserve"> 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>badań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51</w:t>
      </w:r>
    </w:p>
    <w:p w:rsidR="00CD6D3C" w:rsidRPr="005D040A" w:rsidRDefault="005D040A" w:rsidP="005D040A">
      <w:pPr>
        <w:numPr>
          <w:ilvl w:val="1"/>
          <w:numId w:val="1"/>
        </w:numPr>
        <w:ind w:left="651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Stan badań nad bibliotekami publicznymi Łodzi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52</w:t>
      </w:r>
    </w:p>
    <w:p w:rsidR="00CD6D3C" w:rsidRPr="005D040A" w:rsidRDefault="005D040A" w:rsidP="005D040A">
      <w:pPr>
        <w:numPr>
          <w:ilvl w:val="1"/>
          <w:numId w:val="1"/>
        </w:numPr>
        <w:ind w:left="651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Metodyka badań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56</w:t>
      </w:r>
    </w:p>
    <w:p w:rsidR="00CD6D3C" w:rsidRPr="005D040A" w:rsidRDefault="005D040A" w:rsidP="005D040A">
      <w:pPr>
        <w:numPr>
          <w:ilvl w:val="2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Przedmiot badań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56</w:t>
      </w:r>
    </w:p>
    <w:p w:rsidR="00CD6D3C" w:rsidRPr="005D040A" w:rsidRDefault="005D040A" w:rsidP="005D040A">
      <w:pPr>
        <w:numPr>
          <w:ilvl w:val="2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Problemy i cele badawcze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56</w:t>
      </w:r>
    </w:p>
    <w:p w:rsidR="00CD6D3C" w:rsidRPr="005D040A" w:rsidRDefault="005D040A" w:rsidP="005D040A">
      <w:pPr>
        <w:numPr>
          <w:ilvl w:val="2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Metody badań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59</w:t>
      </w:r>
    </w:p>
    <w:p w:rsidR="00CD6D3C" w:rsidRPr="005D040A" w:rsidRDefault="005D040A" w:rsidP="005D040A">
      <w:pPr>
        <w:numPr>
          <w:ilvl w:val="2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Populacja i próba badawcza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59</w:t>
      </w:r>
    </w:p>
    <w:p w:rsidR="00CD6D3C" w:rsidRPr="005D040A" w:rsidRDefault="005D040A" w:rsidP="005D040A">
      <w:pPr>
        <w:numPr>
          <w:ilvl w:val="2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Udostępnienie kwestionariusza ankiety online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63</w:t>
      </w:r>
    </w:p>
    <w:p w:rsidR="00CD6D3C" w:rsidRPr="005D040A" w:rsidRDefault="005D040A" w:rsidP="005D040A">
      <w:pPr>
        <w:numPr>
          <w:ilvl w:val="1"/>
          <w:numId w:val="1"/>
        </w:numPr>
        <w:ind w:left="651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Prezentacja i omówienie wyników badań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64</w:t>
      </w:r>
    </w:p>
    <w:p w:rsidR="00CD6D3C" w:rsidRPr="005D040A" w:rsidRDefault="005D040A" w:rsidP="005D040A">
      <w:pPr>
        <w:numPr>
          <w:ilvl w:val="2"/>
          <w:numId w:val="1"/>
        </w:numPr>
        <w:ind w:left="1130" w:hanging="477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Opis docelowej próby badawczej i wiarygodność badań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64</w:t>
      </w:r>
    </w:p>
    <w:p w:rsidR="00CD6D3C" w:rsidRPr="005D040A" w:rsidRDefault="005D040A" w:rsidP="005D040A">
      <w:pPr>
        <w:numPr>
          <w:ilvl w:val="2"/>
          <w:numId w:val="1"/>
        </w:numPr>
        <w:ind w:left="1130" w:hanging="485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Bariery powstrzymujące respondentów przed korzystaniem z bibliotek publicznych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70</w:t>
      </w:r>
    </w:p>
    <w:p w:rsidR="00CD6D3C" w:rsidRPr="005D040A" w:rsidRDefault="005D040A" w:rsidP="005D040A">
      <w:pPr>
        <w:numPr>
          <w:ilvl w:val="3"/>
          <w:numId w:val="1"/>
        </w:numPr>
        <w:ind w:hanging="637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Bariery dotyczące zbiorów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70</w:t>
      </w:r>
    </w:p>
    <w:p w:rsidR="00CD6D3C" w:rsidRPr="005D040A" w:rsidRDefault="005D040A" w:rsidP="005D040A">
      <w:pPr>
        <w:numPr>
          <w:ilvl w:val="3"/>
          <w:numId w:val="1"/>
        </w:numPr>
        <w:ind w:left="1773" w:hanging="64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Bariery dotyczące personelu, organizacji i usług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71</w:t>
      </w:r>
    </w:p>
    <w:p w:rsidR="00CD6D3C" w:rsidRPr="005D040A" w:rsidRDefault="005D040A" w:rsidP="005D040A">
      <w:pPr>
        <w:numPr>
          <w:ilvl w:val="3"/>
          <w:numId w:val="1"/>
        </w:numPr>
        <w:ind w:left="1773" w:hanging="64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Bariery dotyczące wnętrza i wyposażenia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72</w:t>
      </w:r>
    </w:p>
    <w:p w:rsidR="00CD6D3C" w:rsidRPr="005D040A" w:rsidRDefault="005D040A" w:rsidP="005D040A">
      <w:pPr>
        <w:numPr>
          <w:ilvl w:val="3"/>
          <w:numId w:val="1"/>
        </w:numPr>
        <w:ind w:right="108" w:hanging="64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Bariery dotyczące lokalizacji i informacji o bibliotekach i ich zbiorach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72</w:t>
      </w:r>
    </w:p>
    <w:p w:rsidR="00CD6D3C" w:rsidRPr="005D040A" w:rsidRDefault="005D040A" w:rsidP="005D040A">
      <w:pPr>
        <w:numPr>
          <w:ilvl w:val="2"/>
          <w:numId w:val="1"/>
        </w:numPr>
        <w:ind w:left="1128" w:hanging="482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wpływające na decyzję respondentów dotyczącą zapisania się do biblioteki publicznej lub na polepszenie komfortu korzystania</w:t>
      </w:r>
      <w:r w:rsidRPr="005D040A">
        <w:rPr>
          <w:rFonts w:ascii="Cambria" w:eastAsia="Garamond" w:hAnsi="Cambria" w:cs="Garamond"/>
          <w:sz w:val="20"/>
          <w:szCs w:val="20"/>
          <w:lang w:val="pl-PL"/>
        </w:rPr>
        <w:t xml:space="preserve"> 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>z obecnej oferty. Ocena wagi czynników przez ankietowanych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73</w:t>
      </w:r>
    </w:p>
    <w:p w:rsidR="00CD6D3C" w:rsidRPr="005D040A" w:rsidRDefault="005D040A" w:rsidP="005D040A">
      <w:pPr>
        <w:numPr>
          <w:ilvl w:val="3"/>
          <w:numId w:val="1"/>
        </w:numPr>
        <w:ind w:hanging="637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dotyczące zbiorów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73</w:t>
      </w:r>
    </w:p>
    <w:p w:rsidR="00CD6D3C" w:rsidRPr="005D040A" w:rsidRDefault="005D040A" w:rsidP="005D040A">
      <w:pPr>
        <w:numPr>
          <w:ilvl w:val="3"/>
          <w:numId w:val="1"/>
        </w:numPr>
        <w:ind w:left="1773" w:hanging="64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dotyczące personelu, organizacji i usług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75</w:t>
      </w:r>
    </w:p>
    <w:p w:rsidR="00CD6D3C" w:rsidRPr="005D040A" w:rsidRDefault="005D040A" w:rsidP="005D040A">
      <w:pPr>
        <w:numPr>
          <w:ilvl w:val="3"/>
          <w:numId w:val="1"/>
        </w:numPr>
        <w:ind w:left="1773" w:hanging="64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dotyczące wnętrza i wyposażenia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76</w:t>
      </w:r>
    </w:p>
    <w:p w:rsidR="00CD6D3C" w:rsidRPr="005D040A" w:rsidRDefault="005D040A" w:rsidP="005D040A">
      <w:pPr>
        <w:numPr>
          <w:ilvl w:val="3"/>
          <w:numId w:val="1"/>
        </w:numPr>
        <w:ind w:hanging="674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dotyczące lokalizacji i informacji o bibliotekach</w:t>
      </w:r>
      <w:r w:rsidRPr="005D040A">
        <w:rPr>
          <w:rFonts w:ascii="Cambria" w:eastAsia="Garamond" w:hAnsi="Cambria" w:cs="Garamond"/>
          <w:sz w:val="20"/>
          <w:szCs w:val="20"/>
          <w:lang w:val="pl-PL"/>
        </w:rPr>
        <w:t xml:space="preserve"> 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>i jej zbiorach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78</w:t>
      </w:r>
    </w:p>
    <w:p w:rsidR="00CD6D3C" w:rsidRPr="005D040A" w:rsidRDefault="005D040A" w:rsidP="005D040A">
      <w:pPr>
        <w:numPr>
          <w:ilvl w:val="3"/>
          <w:numId w:val="1"/>
        </w:numPr>
        <w:ind w:left="1769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Zróżnicowanie oceny czynników determinujących zapisanie się do biblioteki publicznej lub częstsze korzystanie z niej</w:t>
      </w:r>
      <w:r w:rsidRPr="005D040A">
        <w:rPr>
          <w:rFonts w:ascii="Cambria" w:eastAsia="Garamond" w:hAnsi="Cambria" w:cs="Garamond"/>
          <w:sz w:val="20"/>
          <w:szCs w:val="20"/>
          <w:lang w:val="pl-PL"/>
        </w:rPr>
        <w:t xml:space="preserve"> 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>w grupach według płci i dzielnicy zamieszkania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80</w:t>
      </w:r>
    </w:p>
    <w:p w:rsidR="00CD6D3C" w:rsidRPr="005D040A" w:rsidRDefault="005D040A" w:rsidP="005D040A">
      <w:pPr>
        <w:numPr>
          <w:ilvl w:val="2"/>
          <w:numId w:val="1"/>
        </w:numPr>
        <w:ind w:left="1130" w:hanging="493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wpływające na decyzję respondentów dotyczącą zapisania</w:t>
      </w:r>
      <w:r w:rsidRPr="005D040A">
        <w:rPr>
          <w:rFonts w:ascii="Cambria" w:eastAsia="Garamond" w:hAnsi="Cambria" w:cs="Garamond"/>
          <w:sz w:val="20"/>
          <w:szCs w:val="20"/>
          <w:lang w:val="pl-PL"/>
        </w:rPr>
        <w:t xml:space="preserve"> 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>do biblioteki publicznej swoich dzieci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86</w:t>
      </w:r>
    </w:p>
    <w:p w:rsidR="00CD6D3C" w:rsidRPr="005D040A" w:rsidRDefault="005D040A" w:rsidP="005D040A">
      <w:pPr>
        <w:numPr>
          <w:ilvl w:val="3"/>
          <w:numId w:val="1"/>
        </w:numPr>
        <w:ind w:right="108" w:hanging="64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Najczęściej i najrzadziej wybierane czynniki wpływające na zapisanie dzieci do biblioteki publicznej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87</w:t>
      </w:r>
    </w:p>
    <w:p w:rsidR="00CD6D3C" w:rsidRPr="005D040A" w:rsidRDefault="005D040A" w:rsidP="005D040A">
      <w:pPr>
        <w:numPr>
          <w:ilvl w:val="3"/>
          <w:numId w:val="1"/>
        </w:numPr>
        <w:ind w:hanging="64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dotyczące zbiorów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88</w:t>
      </w:r>
    </w:p>
    <w:p w:rsidR="00CD6D3C" w:rsidRPr="005D040A" w:rsidRDefault="005D040A" w:rsidP="005D040A">
      <w:pPr>
        <w:numPr>
          <w:ilvl w:val="3"/>
          <w:numId w:val="1"/>
        </w:numPr>
        <w:ind w:hanging="64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dotyczące personelu, organizacji i usług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88</w:t>
      </w:r>
    </w:p>
    <w:p w:rsidR="00CD6D3C" w:rsidRPr="005D040A" w:rsidRDefault="005D040A" w:rsidP="005D040A">
      <w:pPr>
        <w:numPr>
          <w:ilvl w:val="3"/>
          <w:numId w:val="1"/>
        </w:numPr>
        <w:ind w:hanging="64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dotyczące wnętrz i wyposażenia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89</w:t>
      </w:r>
    </w:p>
    <w:p w:rsidR="00CD6D3C" w:rsidRPr="005D040A" w:rsidRDefault="005D040A" w:rsidP="005D040A">
      <w:pPr>
        <w:numPr>
          <w:ilvl w:val="3"/>
          <w:numId w:val="1"/>
        </w:numPr>
        <w:ind w:hanging="674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dotyczące lokalizacji i informacji o bibliotekach</w:t>
      </w:r>
      <w:r w:rsidRPr="005D040A">
        <w:rPr>
          <w:rFonts w:ascii="Cambria" w:eastAsia="Garamond" w:hAnsi="Cambria" w:cs="Garamond"/>
          <w:sz w:val="20"/>
          <w:szCs w:val="20"/>
          <w:lang w:val="pl-PL"/>
        </w:rPr>
        <w:t xml:space="preserve"> 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>i ich zbiorach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90</w:t>
      </w:r>
    </w:p>
    <w:p w:rsidR="00CD6D3C" w:rsidRPr="005D040A" w:rsidRDefault="005D040A" w:rsidP="005D040A">
      <w:pPr>
        <w:numPr>
          <w:ilvl w:val="2"/>
          <w:numId w:val="1"/>
        </w:numPr>
        <w:ind w:left="1141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lastRenderedPageBreak/>
        <w:t>Podsumowanie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91</w:t>
      </w:r>
    </w:p>
    <w:p w:rsidR="00CD6D3C" w:rsidRPr="005D040A" w:rsidRDefault="005D040A" w:rsidP="005D040A">
      <w:pPr>
        <w:numPr>
          <w:ilvl w:val="3"/>
          <w:numId w:val="1"/>
        </w:numPr>
        <w:ind w:left="1769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wpływające na zapisanie się do biblioteki publicznej lub intensywniejsze korzystanie z niej mieszkańców Łodzi według najwyższej i wysokiej częstości odpowiedzi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92</w:t>
      </w:r>
    </w:p>
    <w:p w:rsidR="00CD6D3C" w:rsidRPr="005D040A" w:rsidRDefault="005D040A" w:rsidP="005D040A">
      <w:pPr>
        <w:numPr>
          <w:ilvl w:val="3"/>
          <w:numId w:val="1"/>
        </w:numPr>
        <w:ind w:left="1769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wpływające na zapisanie się do biblioteki publicznej lub intensywniejsze korzystanie z niej mieszkańców Łodzi według umiarkowanej częstości odpowiedzi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94</w:t>
      </w:r>
    </w:p>
    <w:p w:rsidR="00CD6D3C" w:rsidRPr="005D040A" w:rsidRDefault="005D040A" w:rsidP="005D040A">
      <w:pPr>
        <w:numPr>
          <w:ilvl w:val="3"/>
          <w:numId w:val="1"/>
        </w:numPr>
        <w:ind w:left="1769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Czynniki wpływające na zapisanie się do biblioteki publicznej lub intensywniejsze korzystanie z niej mieszkańców Łodzi według niskiej i najniższej częstości odpowiedzi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96</w:t>
      </w:r>
    </w:p>
    <w:p w:rsidR="00CD6D3C" w:rsidRPr="005D040A" w:rsidRDefault="005D040A" w:rsidP="005D040A">
      <w:pPr>
        <w:numPr>
          <w:ilvl w:val="1"/>
          <w:numId w:val="1"/>
        </w:numPr>
        <w:ind w:left="651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Wnioski końcowe i rekomendacje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98</w:t>
      </w:r>
    </w:p>
    <w:p w:rsidR="00CD6D3C" w:rsidRPr="005D040A" w:rsidRDefault="005D040A" w:rsidP="005D040A">
      <w:pPr>
        <w:numPr>
          <w:ilvl w:val="0"/>
          <w:numId w:val="1"/>
        </w:numPr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Zmiany w łódzkim bibliotekarstwie publicznym po 2017 roku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101</w:t>
      </w:r>
    </w:p>
    <w:p w:rsidR="00CD6D3C" w:rsidRPr="005D040A" w:rsidRDefault="005D040A" w:rsidP="005D040A">
      <w:pPr>
        <w:numPr>
          <w:ilvl w:val="1"/>
          <w:numId w:val="1"/>
        </w:numPr>
        <w:ind w:left="670" w:hanging="36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Proces przygotowawczy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101</w:t>
      </w:r>
    </w:p>
    <w:p w:rsidR="00CD6D3C" w:rsidRPr="005D040A" w:rsidRDefault="005D040A" w:rsidP="005D040A">
      <w:pPr>
        <w:numPr>
          <w:ilvl w:val="1"/>
          <w:numId w:val="1"/>
        </w:numPr>
        <w:ind w:left="651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Rejestr wykonanych zadań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102</w:t>
      </w:r>
    </w:p>
    <w:p w:rsidR="00CD6D3C" w:rsidRPr="005D040A" w:rsidRDefault="005D040A" w:rsidP="005D040A">
      <w:pPr>
        <w:numPr>
          <w:ilvl w:val="2"/>
          <w:numId w:val="1"/>
        </w:numPr>
        <w:ind w:left="1141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Zadania organizacyjne i inwestycyjne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103</w:t>
      </w:r>
    </w:p>
    <w:p w:rsidR="00CD6D3C" w:rsidRPr="005D040A" w:rsidRDefault="005D040A" w:rsidP="005D040A">
      <w:pPr>
        <w:numPr>
          <w:ilvl w:val="2"/>
          <w:numId w:val="1"/>
        </w:numPr>
        <w:ind w:left="1141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Zadania promocyjne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107</w:t>
      </w:r>
    </w:p>
    <w:p w:rsidR="00CD6D3C" w:rsidRDefault="005D040A" w:rsidP="005D040A">
      <w:pPr>
        <w:numPr>
          <w:ilvl w:val="1"/>
          <w:numId w:val="1"/>
        </w:numPr>
        <w:ind w:left="670" w:right="108" w:hanging="360"/>
        <w:rPr>
          <w:rFonts w:ascii="Cambria" w:eastAsia="Garamond" w:hAnsi="Cambria" w:cs="Garamond"/>
          <w:sz w:val="20"/>
          <w:szCs w:val="20"/>
          <w:lang w:val="pl-PL"/>
        </w:rPr>
      </w:pPr>
      <w:r w:rsidRPr="005D040A">
        <w:rPr>
          <w:rFonts w:ascii="Cambria" w:hAnsi="Cambria"/>
          <w:color w:val="231F20"/>
          <w:sz w:val="20"/>
          <w:szCs w:val="20"/>
          <w:lang w:val="pl-PL"/>
        </w:rPr>
        <w:t>Ocena zmian w łódzkich bibliotekach publicznych przez pryzmat przeprowadzonych badań wśród mieszkańców</w:t>
      </w:r>
      <w:r w:rsidRPr="005D040A">
        <w:rPr>
          <w:rFonts w:ascii="Cambria" w:hAnsi="Cambria"/>
          <w:color w:val="231F20"/>
          <w:sz w:val="20"/>
          <w:szCs w:val="20"/>
          <w:lang w:val="pl-PL"/>
        </w:rPr>
        <w:tab/>
        <w:t>112</w:t>
      </w:r>
    </w:p>
    <w:p w:rsidR="006113E4" w:rsidRDefault="006113E4" w:rsidP="006113E4">
      <w:pPr>
        <w:ind w:left="310" w:right="108"/>
        <w:rPr>
          <w:rFonts w:ascii="Cambria" w:eastAsia="Garamond" w:hAnsi="Cambria" w:cs="Garamond"/>
          <w:sz w:val="20"/>
          <w:szCs w:val="20"/>
          <w:lang w:val="pl-PL"/>
        </w:rPr>
      </w:pPr>
    </w:p>
    <w:p w:rsidR="006113E4" w:rsidRPr="006113E4" w:rsidRDefault="006113E4" w:rsidP="006113E4">
      <w:pPr>
        <w:widowControl/>
        <w:autoSpaceDE w:val="0"/>
        <w:autoSpaceDN w:val="0"/>
        <w:adjustRightInd w:val="0"/>
        <w:rPr>
          <w:rFonts w:ascii="Cambria" w:hAnsi="Cambria" w:cs="ArnoPro-Regular"/>
          <w:sz w:val="20"/>
          <w:szCs w:val="20"/>
          <w:lang w:val="pl-PL"/>
        </w:rPr>
      </w:pPr>
      <w:r w:rsidRPr="006113E4">
        <w:rPr>
          <w:rFonts w:ascii="Cambria" w:hAnsi="Cambria" w:cs="ArnoPro-Regular"/>
          <w:sz w:val="20"/>
          <w:szCs w:val="20"/>
          <w:lang w:val="pl-PL"/>
        </w:rPr>
        <w:t xml:space="preserve">Zakończenie </w:t>
      </w:r>
      <w:r>
        <w:rPr>
          <w:rFonts w:ascii="Cambria" w:hAnsi="Cambria" w:cs="ArnoPro-Regular"/>
          <w:sz w:val="20"/>
          <w:szCs w:val="20"/>
          <w:lang w:val="pl-PL"/>
        </w:rPr>
        <w:tab/>
      </w:r>
      <w:r w:rsidRPr="006113E4">
        <w:rPr>
          <w:rFonts w:ascii="Cambria" w:hAnsi="Cambria" w:cs="ArnoPro-Regular"/>
          <w:sz w:val="20"/>
          <w:szCs w:val="20"/>
          <w:lang w:val="pl-PL"/>
        </w:rPr>
        <w:t>115</w:t>
      </w:r>
    </w:p>
    <w:p w:rsidR="006113E4" w:rsidRDefault="006113E4" w:rsidP="006113E4">
      <w:pPr>
        <w:widowControl/>
        <w:autoSpaceDE w:val="0"/>
        <w:autoSpaceDN w:val="0"/>
        <w:adjustRightInd w:val="0"/>
        <w:rPr>
          <w:rFonts w:ascii="Cambria" w:hAnsi="Cambria" w:cs="ArnoPro-Regular"/>
          <w:sz w:val="20"/>
          <w:szCs w:val="20"/>
          <w:lang w:val="pl-PL"/>
        </w:rPr>
      </w:pPr>
    </w:p>
    <w:p w:rsidR="006113E4" w:rsidRPr="006113E4" w:rsidRDefault="006113E4" w:rsidP="006113E4">
      <w:pPr>
        <w:widowControl/>
        <w:autoSpaceDE w:val="0"/>
        <w:autoSpaceDN w:val="0"/>
        <w:adjustRightInd w:val="0"/>
        <w:rPr>
          <w:rFonts w:ascii="Cambria" w:hAnsi="Cambria" w:cs="ArnoPro-Regular"/>
          <w:sz w:val="20"/>
          <w:szCs w:val="20"/>
          <w:lang w:val="pl-PL"/>
        </w:rPr>
      </w:pPr>
      <w:r w:rsidRPr="006113E4">
        <w:rPr>
          <w:rFonts w:ascii="Cambria" w:hAnsi="Cambria" w:cs="ArnoPro-Regular"/>
          <w:sz w:val="20"/>
          <w:szCs w:val="20"/>
          <w:lang w:val="pl-PL"/>
        </w:rPr>
        <w:t xml:space="preserve">Bibliografia </w:t>
      </w:r>
      <w:r>
        <w:rPr>
          <w:rFonts w:ascii="Cambria" w:hAnsi="Cambria" w:cs="ArnoPro-Regular"/>
          <w:sz w:val="20"/>
          <w:szCs w:val="20"/>
          <w:lang w:val="pl-PL"/>
        </w:rPr>
        <w:tab/>
      </w:r>
      <w:r w:rsidRPr="006113E4">
        <w:rPr>
          <w:rFonts w:ascii="Cambria" w:hAnsi="Cambria" w:cs="ArnoPro-Regular"/>
          <w:sz w:val="20"/>
          <w:szCs w:val="20"/>
          <w:lang w:val="pl-PL"/>
        </w:rPr>
        <w:t>117</w:t>
      </w:r>
    </w:p>
    <w:p w:rsidR="006113E4" w:rsidRDefault="006113E4" w:rsidP="006113E4">
      <w:pPr>
        <w:widowControl/>
        <w:autoSpaceDE w:val="0"/>
        <w:autoSpaceDN w:val="0"/>
        <w:adjustRightInd w:val="0"/>
        <w:rPr>
          <w:rFonts w:ascii="Cambria" w:hAnsi="Cambria" w:cs="ArnoPro-Regular"/>
          <w:sz w:val="20"/>
          <w:szCs w:val="20"/>
          <w:lang w:val="pl-PL"/>
        </w:rPr>
      </w:pPr>
    </w:p>
    <w:p w:rsidR="006113E4" w:rsidRPr="006113E4" w:rsidRDefault="006113E4" w:rsidP="006113E4">
      <w:pPr>
        <w:widowControl/>
        <w:autoSpaceDE w:val="0"/>
        <w:autoSpaceDN w:val="0"/>
        <w:adjustRightInd w:val="0"/>
        <w:rPr>
          <w:rFonts w:ascii="Cambria" w:hAnsi="Cambria" w:cs="ArnoPro-Regular"/>
          <w:sz w:val="20"/>
          <w:szCs w:val="20"/>
          <w:lang w:val="pl-PL"/>
        </w:rPr>
      </w:pPr>
      <w:r w:rsidRPr="006113E4">
        <w:rPr>
          <w:rFonts w:ascii="Cambria" w:hAnsi="Cambria" w:cs="ArnoPro-Regular"/>
          <w:sz w:val="20"/>
          <w:szCs w:val="20"/>
          <w:lang w:val="pl-PL"/>
        </w:rPr>
        <w:t xml:space="preserve">Spis wykresów, ilustracji i tabel </w:t>
      </w:r>
      <w:r>
        <w:rPr>
          <w:rFonts w:ascii="Cambria" w:hAnsi="Cambria" w:cs="ArnoPro-Regular"/>
          <w:sz w:val="20"/>
          <w:szCs w:val="20"/>
          <w:lang w:val="pl-PL"/>
        </w:rPr>
        <w:tab/>
      </w:r>
      <w:r w:rsidRPr="006113E4">
        <w:rPr>
          <w:rFonts w:ascii="Cambria" w:hAnsi="Cambria" w:cs="ArnoPro-Regular"/>
          <w:sz w:val="20"/>
          <w:szCs w:val="20"/>
          <w:lang w:val="pl-PL"/>
        </w:rPr>
        <w:t>125</w:t>
      </w:r>
    </w:p>
    <w:p w:rsidR="006113E4" w:rsidRDefault="006113E4" w:rsidP="006113E4">
      <w:pPr>
        <w:widowControl/>
        <w:autoSpaceDE w:val="0"/>
        <w:autoSpaceDN w:val="0"/>
        <w:adjustRightInd w:val="0"/>
        <w:rPr>
          <w:rFonts w:ascii="Cambria" w:hAnsi="Cambria" w:cs="ArnoPro-Regular"/>
          <w:sz w:val="20"/>
          <w:szCs w:val="20"/>
          <w:lang w:val="pl-PL"/>
        </w:rPr>
      </w:pPr>
    </w:p>
    <w:p w:rsidR="006113E4" w:rsidRPr="006113E4" w:rsidRDefault="006113E4" w:rsidP="006113E4">
      <w:pPr>
        <w:widowControl/>
        <w:autoSpaceDE w:val="0"/>
        <w:autoSpaceDN w:val="0"/>
        <w:adjustRightInd w:val="0"/>
        <w:rPr>
          <w:rFonts w:ascii="Cambria" w:eastAsia="Garamond" w:hAnsi="Cambria" w:cs="Garamond"/>
          <w:sz w:val="20"/>
          <w:szCs w:val="20"/>
          <w:lang w:val="pl-PL"/>
        </w:rPr>
      </w:pPr>
      <w:r w:rsidRPr="006113E4">
        <w:rPr>
          <w:rFonts w:ascii="Cambria" w:hAnsi="Cambria" w:cs="ArnoPro-Regular"/>
          <w:sz w:val="20"/>
          <w:szCs w:val="20"/>
          <w:lang w:val="pl-PL"/>
        </w:rPr>
        <w:t xml:space="preserve">Załącznik. Projekt Pawła Brauna dotyczący działalności </w:t>
      </w:r>
      <w:bookmarkStart w:id="0" w:name="_GoBack"/>
      <w:r w:rsidRPr="006113E4">
        <w:rPr>
          <w:rFonts w:ascii="Cambria" w:hAnsi="Cambria" w:cs="ArnoPro-Regular"/>
          <w:sz w:val="20"/>
          <w:szCs w:val="20"/>
          <w:lang w:val="pl-PL"/>
        </w:rPr>
        <w:t>Biblioteki Miejskiej</w:t>
      </w:r>
      <w:r>
        <w:rPr>
          <w:rFonts w:ascii="Cambria" w:hAnsi="Cambria" w:cs="ArnoPro-Regular"/>
          <w:sz w:val="20"/>
          <w:szCs w:val="20"/>
          <w:lang w:val="pl-PL"/>
        </w:rPr>
        <w:t xml:space="preserve"> </w:t>
      </w:r>
      <w:r w:rsidRPr="006113E4">
        <w:rPr>
          <w:rFonts w:ascii="Cambria" w:hAnsi="Cambria" w:cs="ArnoPro-Regular"/>
          <w:sz w:val="20"/>
          <w:szCs w:val="20"/>
          <w:lang w:val="pl-PL"/>
        </w:rPr>
        <w:t xml:space="preserve">w Łodzi </w:t>
      </w:r>
      <w:bookmarkEnd w:id="0"/>
      <w:r>
        <w:rPr>
          <w:rFonts w:ascii="Cambria" w:hAnsi="Cambria" w:cs="ArnoPro-Regular"/>
          <w:sz w:val="20"/>
          <w:szCs w:val="20"/>
          <w:lang w:val="pl-PL"/>
        </w:rPr>
        <w:tab/>
      </w:r>
      <w:r w:rsidRPr="006113E4">
        <w:rPr>
          <w:rFonts w:ascii="Cambria" w:hAnsi="Cambria" w:cs="ArnoPro-Regular"/>
          <w:sz w:val="20"/>
          <w:szCs w:val="20"/>
          <w:lang w:val="pl-PL"/>
        </w:rPr>
        <w:t>131</w:t>
      </w:r>
    </w:p>
    <w:sectPr w:rsidR="006113E4" w:rsidRPr="006113E4">
      <w:pgSz w:w="9530" w:h="13610"/>
      <w:pgMar w:top="100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no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64F"/>
    <w:multiLevelType w:val="multilevel"/>
    <w:tmpl w:val="A8265C16"/>
    <w:lvl w:ilvl="0">
      <w:start w:val="1"/>
      <w:numFmt w:val="decimal"/>
      <w:lvlText w:val="%1."/>
      <w:lvlJc w:val="left"/>
      <w:pPr>
        <w:ind w:left="305" w:hanging="192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1">
      <w:start w:val="1"/>
      <w:numFmt w:val="decimal"/>
      <w:lvlText w:val="%1.%2."/>
      <w:lvlJc w:val="left"/>
      <w:pPr>
        <w:ind w:left="654" w:hanging="341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2">
      <w:start w:val="1"/>
      <w:numFmt w:val="decimal"/>
      <w:lvlText w:val="%1.%2.%3."/>
      <w:lvlJc w:val="left"/>
      <w:pPr>
        <w:ind w:left="1144" w:hanging="491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0" w:hanging="641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4">
      <w:start w:val="1"/>
      <w:numFmt w:val="bullet"/>
      <w:lvlText w:val="•"/>
      <w:lvlJc w:val="left"/>
      <w:pPr>
        <w:ind w:left="670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0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4" w:hanging="6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6D3C"/>
    <w:rsid w:val="005D040A"/>
    <w:rsid w:val="006113E4"/>
    <w:rsid w:val="00C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Palatino Linotype" w:eastAsia="Palatino Linotype" w:hAnsi="Palatino Linotype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2019-12-05T08:43:00Z</dcterms:created>
  <dcterms:modified xsi:type="dcterms:W3CDTF">2019-12-05T07:54:00Z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2019-12-05T00:00:00Z</vt:filetime>
  </property>
</Properties>
</file>