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ED" w:rsidRPr="003034E0" w:rsidRDefault="003034E0" w:rsidP="003034E0">
      <w:pPr>
        <w:ind w:left="117"/>
        <w:rPr>
          <w:rFonts w:ascii="Calibri" w:eastAsia="Calibri" w:hAnsi="Calibri" w:cs="Calibri"/>
          <w:sz w:val="20"/>
          <w:szCs w:val="20"/>
          <w:lang w:val="pl-PL"/>
        </w:rPr>
      </w:pP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>Wyk</w:t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>az</w:t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>skrót</w:t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>ó</w:t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>w</w:t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ab/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>7</w:t>
      </w:r>
    </w:p>
    <w:p w:rsidR="003034E0" w:rsidRDefault="003034E0" w:rsidP="003034E0">
      <w:pPr>
        <w:ind w:left="117"/>
        <w:rPr>
          <w:rFonts w:ascii="Calibri" w:hAnsi="Calibri" w:cs="Calibri"/>
          <w:b/>
          <w:color w:val="161616"/>
          <w:sz w:val="20"/>
          <w:szCs w:val="20"/>
          <w:lang w:val="pl-PL"/>
        </w:rPr>
      </w:pPr>
    </w:p>
    <w:p w:rsidR="005E74ED" w:rsidRPr="003034E0" w:rsidRDefault="003034E0" w:rsidP="003034E0">
      <w:pPr>
        <w:ind w:left="117"/>
        <w:rPr>
          <w:rFonts w:ascii="Calibri" w:eastAsia="Calibri" w:hAnsi="Calibri" w:cs="Calibri"/>
          <w:sz w:val="20"/>
          <w:szCs w:val="20"/>
          <w:lang w:val="pl-PL"/>
        </w:rPr>
      </w:pP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>Wstęp</w:t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ab/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>9</w:t>
      </w:r>
    </w:p>
    <w:p w:rsidR="003034E0" w:rsidRDefault="003034E0" w:rsidP="003034E0">
      <w:pPr>
        <w:ind w:left="117"/>
        <w:rPr>
          <w:rFonts w:ascii="Calibri" w:hAnsi="Calibri" w:cs="Calibri"/>
          <w:color w:val="161616"/>
          <w:sz w:val="20"/>
          <w:szCs w:val="20"/>
          <w:lang w:val="pl-PL"/>
        </w:rPr>
      </w:pPr>
    </w:p>
    <w:p w:rsidR="005E74ED" w:rsidRPr="003034E0" w:rsidRDefault="003034E0" w:rsidP="003034E0">
      <w:pPr>
        <w:ind w:left="117"/>
        <w:rPr>
          <w:rFonts w:ascii="Calibri" w:eastAsia="Calibri" w:hAnsi="Calibri" w:cs="Calibri"/>
          <w:sz w:val="20"/>
          <w:szCs w:val="20"/>
          <w:lang w:val="pl-PL"/>
        </w:rPr>
      </w:pP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Rozdział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1</w:t>
      </w:r>
      <w:r>
        <w:rPr>
          <w:rFonts w:ascii="Calibri" w:hAnsi="Calibri" w:cs="Calibri"/>
          <w:color w:val="161616"/>
          <w:sz w:val="20"/>
          <w:szCs w:val="20"/>
          <w:lang w:val="pl-PL"/>
        </w:rPr>
        <w:t xml:space="preserve">. </w:t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>Przyczyny</w:t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>wzr</w:t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>o</w:t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>stu</w:t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 xml:space="preserve"> cen</w:t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>energii</w:t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>elektrycznej</w:t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>w</w:t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>Polsc</w:t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>e</w:t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ab/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>13</w:t>
      </w:r>
    </w:p>
    <w:p w:rsidR="005E74ED" w:rsidRPr="003034E0" w:rsidRDefault="003034E0" w:rsidP="003034E0">
      <w:pPr>
        <w:numPr>
          <w:ilvl w:val="1"/>
          <w:numId w:val="4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Wpr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owadzenie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ab/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13</w:t>
      </w:r>
    </w:p>
    <w:p w:rsidR="005E74ED" w:rsidRPr="003034E0" w:rsidRDefault="003034E0" w:rsidP="003034E0">
      <w:pPr>
        <w:numPr>
          <w:ilvl w:val="1"/>
          <w:numId w:val="4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W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zrost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kosztów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zakupu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pozwoleń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na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emisję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CO</w:t>
      </w:r>
      <w:r w:rsidRPr="003034E0">
        <w:rPr>
          <w:rFonts w:ascii="Calibri" w:hAnsi="Calibri" w:cs="Calibri"/>
          <w:color w:val="161616"/>
          <w:sz w:val="20"/>
          <w:szCs w:val="20"/>
          <w:vertAlign w:val="subscript"/>
          <w:lang w:val="pl-PL"/>
        </w:rPr>
        <w:t>2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ab/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22</w:t>
      </w:r>
    </w:p>
    <w:p w:rsidR="005E74ED" w:rsidRPr="003034E0" w:rsidRDefault="003034E0" w:rsidP="003034E0">
      <w:pPr>
        <w:numPr>
          <w:ilvl w:val="1"/>
          <w:numId w:val="4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W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zrost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cen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węgla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kamiennego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ab/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24</w:t>
      </w:r>
    </w:p>
    <w:p w:rsidR="005E74ED" w:rsidRPr="003034E0" w:rsidRDefault="003034E0" w:rsidP="003034E0">
      <w:pPr>
        <w:numPr>
          <w:ilvl w:val="1"/>
          <w:numId w:val="4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Niska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konk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ur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encja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na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rynku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ener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gii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elek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tr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ycznej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w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Polsc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e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ab/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25</w:t>
      </w:r>
    </w:p>
    <w:p w:rsidR="005E74ED" w:rsidRPr="003034E0" w:rsidRDefault="003034E0" w:rsidP="003034E0">
      <w:pPr>
        <w:numPr>
          <w:ilvl w:val="2"/>
          <w:numId w:val="4"/>
        </w:numPr>
        <w:ind w:hanging="483"/>
        <w:rPr>
          <w:rFonts w:ascii="Calibri" w:eastAsia="Calibri" w:hAnsi="Calibri" w:cs="Calibri"/>
          <w:sz w:val="20"/>
          <w:szCs w:val="20"/>
          <w:lang w:val="pl-PL"/>
        </w:rPr>
      </w:pP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W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zrost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koncentracji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rynkowej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ab/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25</w:t>
      </w:r>
    </w:p>
    <w:p w:rsidR="005E74ED" w:rsidRPr="003034E0" w:rsidRDefault="003034E0" w:rsidP="003034E0">
      <w:pPr>
        <w:numPr>
          <w:ilvl w:val="2"/>
          <w:numId w:val="4"/>
        </w:numPr>
        <w:ind w:hanging="483"/>
        <w:rPr>
          <w:rFonts w:ascii="Calibri" w:eastAsia="Calibri" w:hAnsi="Calibri" w:cs="Calibri"/>
          <w:sz w:val="20"/>
          <w:szCs w:val="20"/>
          <w:lang w:val="pl-PL"/>
        </w:rPr>
      </w:pP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Malejąca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dynamika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zmian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sprzedawców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energii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elektrycznej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ab/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27</w:t>
      </w:r>
    </w:p>
    <w:p w:rsidR="005E74ED" w:rsidRPr="003034E0" w:rsidRDefault="003034E0" w:rsidP="003034E0">
      <w:pPr>
        <w:numPr>
          <w:ilvl w:val="2"/>
          <w:numId w:val="4"/>
        </w:numPr>
        <w:ind w:hanging="483"/>
        <w:rPr>
          <w:rFonts w:ascii="Calibri" w:eastAsia="Calibri" w:hAnsi="Calibri" w:cs="Calibri"/>
          <w:sz w:val="20"/>
          <w:szCs w:val="20"/>
          <w:lang w:val="pl-PL"/>
        </w:rPr>
      </w:pP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Spadek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giełdo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we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g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o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handlu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ener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gią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elek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tr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yczną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ab/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31</w:t>
      </w:r>
    </w:p>
    <w:p w:rsidR="005E74ED" w:rsidRPr="003034E0" w:rsidRDefault="003034E0" w:rsidP="003034E0">
      <w:pPr>
        <w:numPr>
          <w:ilvl w:val="2"/>
          <w:numId w:val="4"/>
        </w:numPr>
        <w:ind w:hanging="483"/>
        <w:rPr>
          <w:rFonts w:ascii="Calibri" w:eastAsia="Calibri" w:hAnsi="Calibri" w:cs="Calibri"/>
          <w:sz w:val="20"/>
          <w:szCs w:val="20"/>
          <w:lang w:val="pl-PL"/>
        </w:rPr>
      </w:pP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Niski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import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energii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elektrycznej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ab/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33</w:t>
      </w:r>
    </w:p>
    <w:p w:rsidR="005E74ED" w:rsidRPr="003034E0" w:rsidRDefault="003034E0" w:rsidP="003034E0">
      <w:pPr>
        <w:numPr>
          <w:ilvl w:val="1"/>
          <w:numId w:val="4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Koszty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modernizacji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i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rozw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oju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syst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emu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elek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troener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g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ety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czneg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o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ab/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37</w:t>
      </w:r>
    </w:p>
    <w:p w:rsidR="005E74ED" w:rsidRPr="003034E0" w:rsidRDefault="003034E0" w:rsidP="003034E0">
      <w:pPr>
        <w:numPr>
          <w:ilvl w:val="1"/>
          <w:numId w:val="4"/>
        </w:numPr>
        <w:ind w:left="512" w:hanging="395"/>
        <w:rPr>
          <w:rFonts w:ascii="Calibri" w:eastAsia="Calibri" w:hAnsi="Calibri" w:cs="Calibri"/>
          <w:sz w:val="20"/>
          <w:szCs w:val="20"/>
          <w:lang w:val="pl-PL"/>
        </w:rPr>
      </w:pP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Cenotwór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czy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charak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ter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podatk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ów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i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opłat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ab/>
        <w:t>39</w:t>
      </w:r>
    </w:p>
    <w:p w:rsidR="003034E0" w:rsidRDefault="003034E0" w:rsidP="003034E0">
      <w:pPr>
        <w:ind w:left="117"/>
        <w:rPr>
          <w:rFonts w:ascii="Calibri" w:hAnsi="Calibri" w:cs="Calibri"/>
          <w:color w:val="161616"/>
          <w:sz w:val="20"/>
          <w:szCs w:val="20"/>
          <w:lang w:val="pl-PL"/>
        </w:rPr>
      </w:pPr>
    </w:p>
    <w:p w:rsidR="005E74ED" w:rsidRPr="003034E0" w:rsidRDefault="003034E0" w:rsidP="003034E0">
      <w:pPr>
        <w:ind w:left="117"/>
        <w:rPr>
          <w:rFonts w:ascii="Calibri" w:eastAsia="Calibri" w:hAnsi="Calibri" w:cs="Calibri"/>
          <w:sz w:val="20"/>
          <w:szCs w:val="20"/>
          <w:lang w:val="pl-PL"/>
        </w:rPr>
      </w:pP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Rozdział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2</w:t>
      </w:r>
      <w:r>
        <w:rPr>
          <w:rFonts w:ascii="Calibri" w:eastAsia="Calibri" w:hAnsi="Calibri" w:cs="Calibri"/>
          <w:sz w:val="20"/>
          <w:szCs w:val="20"/>
          <w:lang w:val="pl-PL"/>
        </w:rPr>
        <w:t xml:space="preserve">. </w:t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>Gospodar</w:t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>cz</w:t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>e</w:t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>i</w:t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>społeczne</w:t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>efek</w:t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>ty</w:t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>w</w:t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>zr</w:t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>ostu</w:t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>c</w:t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>en</w:t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>ener</w:t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>gii</w:t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>elek</w:t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>trycznej</w:t>
      </w:r>
      <w:r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>w</w:t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>Polsc</w:t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>e</w:t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ab/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>43</w:t>
      </w:r>
    </w:p>
    <w:p w:rsidR="005E74ED" w:rsidRPr="003034E0" w:rsidRDefault="003034E0" w:rsidP="003034E0">
      <w:pPr>
        <w:numPr>
          <w:ilvl w:val="1"/>
          <w:numId w:val="3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Wpr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owadzenie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ab/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43</w:t>
      </w:r>
    </w:p>
    <w:p w:rsidR="005E74ED" w:rsidRPr="003034E0" w:rsidRDefault="003034E0" w:rsidP="003034E0">
      <w:pPr>
        <w:numPr>
          <w:ilvl w:val="1"/>
          <w:numId w:val="3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Ryzyko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wzrostu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ubóstwa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energetycznego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ab/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47</w:t>
      </w:r>
    </w:p>
    <w:p w:rsidR="005E74ED" w:rsidRPr="003034E0" w:rsidRDefault="003034E0" w:rsidP="003034E0">
      <w:pPr>
        <w:numPr>
          <w:ilvl w:val="1"/>
          <w:numId w:val="3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Ryzyk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o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wzrostu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c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en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towarów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i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usług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konsumpcyjnych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ab/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56</w:t>
      </w:r>
    </w:p>
    <w:p w:rsidR="005E74ED" w:rsidRPr="003034E0" w:rsidRDefault="003034E0" w:rsidP="003034E0">
      <w:pPr>
        <w:numPr>
          <w:ilvl w:val="1"/>
          <w:numId w:val="3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Ryzyk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o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spo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w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olnienia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gospodarcz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e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g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o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ab/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62</w:t>
      </w:r>
    </w:p>
    <w:p w:rsidR="005E74ED" w:rsidRPr="003034E0" w:rsidRDefault="003034E0" w:rsidP="003034E0">
      <w:pPr>
        <w:numPr>
          <w:ilvl w:val="1"/>
          <w:numId w:val="3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Problemy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finansowe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spółek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obrotu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ab/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72</w:t>
      </w:r>
    </w:p>
    <w:p w:rsidR="005E74ED" w:rsidRPr="003034E0" w:rsidRDefault="003034E0" w:rsidP="003034E0">
      <w:pPr>
        <w:numPr>
          <w:ilvl w:val="1"/>
          <w:numId w:val="3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Mo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żliwość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wzrostu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zdolności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inwestycyjnych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firm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energetycznych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ab/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74</w:t>
      </w:r>
    </w:p>
    <w:p w:rsidR="003034E0" w:rsidRDefault="003034E0" w:rsidP="003034E0">
      <w:pPr>
        <w:ind w:left="117"/>
        <w:rPr>
          <w:rFonts w:ascii="Calibri" w:hAnsi="Calibri" w:cs="Calibri"/>
          <w:color w:val="161616"/>
          <w:sz w:val="20"/>
          <w:szCs w:val="20"/>
          <w:lang w:val="pl-PL"/>
        </w:rPr>
      </w:pPr>
    </w:p>
    <w:p w:rsidR="005E74ED" w:rsidRPr="003034E0" w:rsidRDefault="003034E0" w:rsidP="003034E0">
      <w:pPr>
        <w:ind w:left="117"/>
        <w:rPr>
          <w:rFonts w:ascii="Calibri" w:eastAsia="Calibri" w:hAnsi="Calibri" w:cs="Calibri"/>
          <w:sz w:val="20"/>
          <w:szCs w:val="20"/>
          <w:lang w:val="pl-PL"/>
        </w:rPr>
      </w:pP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Rozdział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3</w:t>
      </w:r>
      <w:r>
        <w:rPr>
          <w:rFonts w:ascii="Calibri" w:eastAsia="Calibri" w:hAnsi="Calibri" w:cs="Calibri"/>
          <w:sz w:val="20"/>
          <w:szCs w:val="20"/>
          <w:lang w:val="pl-PL"/>
        </w:rPr>
        <w:t xml:space="preserve">. </w:t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>Mo</w:t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>żliwości</w:t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>ograniczania</w:t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>wzr</w:t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>o</w:t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>stu</w:t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>cen</w:t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>energii</w:t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>elektrycznej</w:t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 xml:space="preserve"> w</w:t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>Polsc</w:t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>e</w:t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ab/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>77</w:t>
      </w:r>
    </w:p>
    <w:p w:rsidR="005E74ED" w:rsidRPr="003034E0" w:rsidRDefault="003034E0" w:rsidP="003034E0">
      <w:pPr>
        <w:numPr>
          <w:ilvl w:val="1"/>
          <w:numId w:val="2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Wpr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owadzenie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ab/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77</w:t>
      </w:r>
    </w:p>
    <w:p w:rsidR="005E74ED" w:rsidRPr="003034E0" w:rsidRDefault="003034E0" w:rsidP="003034E0">
      <w:pPr>
        <w:numPr>
          <w:ilvl w:val="1"/>
          <w:numId w:val="2"/>
        </w:numPr>
        <w:rPr>
          <w:rFonts w:ascii="Calibri" w:eastAsia="Calibri" w:hAnsi="Calibri" w:cs="Calibri"/>
          <w:sz w:val="20"/>
          <w:szCs w:val="20"/>
          <w:lang w:val="pl-PL"/>
        </w:rPr>
      </w:pP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R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o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związania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i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inicjatywy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instytucjonalne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ab/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83</w:t>
      </w:r>
    </w:p>
    <w:p w:rsidR="005E74ED" w:rsidRPr="003034E0" w:rsidRDefault="003034E0" w:rsidP="003034E0">
      <w:pPr>
        <w:numPr>
          <w:ilvl w:val="2"/>
          <w:numId w:val="2"/>
        </w:numPr>
        <w:ind w:hanging="519"/>
        <w:rPr>
          <w:rFonts w:ascii="Calibri" w:eastAsia="Calibri" w:hAnsi="Calibri" w:cs="Calibri"/>
          <w:sz w:val="20"/>
          <w:szCs w:val="20"/>
          <w:lang w:val="pl-PL"/>
        </w:rPr>
      </w:pP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W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zmacniane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konk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ur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encji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na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rynku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ener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gii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elek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tr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ycznej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ab/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83</w:t>
      </w:r>
    </w:p>
    <w:p w:rsidR="005E74ED" w:rsidRPr="003034E0" w:rsidRDefault="003034E0" w:rsidP="003034E0">
      <w:pPr>
        <w:numPr>
          <w:ilvl w:val="3"/>
          <w:numId w:val="1"/>
        </w:numPr>
        <w:ind w:hanging="629"/>
        <w:rPr>
          <w:rFonts w:ascii="Calibri" w:eastAsia="Calibri" w:hAnsi="Calibri" w:cs="Calibri"/>
          <w:sz w:val="20"/>
          <w:szCs w:val="20"/>
          <w:lang w:val="pl-PL"/>
        </w:rPr>
      </w:pP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Budowa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rynku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energii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elektrycznej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w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Polsce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ab/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83</w:t>
      </w:r>
    </w:p>
    <w:p w:rsidR="005E74ED" w:rsidRPr="003034E0" w:rsidRDefault="003034E0" w:rsidP="003034E0">
      <w:pPr>
        <w:numPr>
          <w:ilvl w:val="3"/>
          <w:numId w:val="1"/>
        </w:numPr>
        <w:ind w:hanging="627"/>
        <w:rPr>
          <w:rFonts w:ascii="Calibri" w:eastAsia="Calibri" w:hAnsi="Calibri" w:cs="Calibri"/>
          <w:sz w:val="20"/>
          <w:szCs w:val="20"/>
          <w:lang w:val="pl-PL"/>
        </w:rPr>
      </w:pP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Zwiększanie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zakresu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giełdo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we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g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o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bookmarkStart w:id="0" w:name="_GoBack"/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handlu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ener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gią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elek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tr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yczną</w:t>
      </w:r>
      <w:bookmarkEnd w:id="0"/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ab/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84</w:t>
      </w:r>
    </w:p>
    <w:p w:rsidR="005E74ED" w:rsidRPr="003034E0" w:rsidRDefault="003034E0" w:rsidP="003034E0">
      <w:pPr>
        <w:numPr>
          <w:ilvl w:val="3"/>
          <w:numId w:val="1"/>
        </w:numPr>
        <w:ind w:right="102" w:hanging="627"/>
        <w:rPr>
          <w:rFonts w:ascii="Calibri" w:eastAsia="Calibri" w:hAnsi="Calibri" w:cs="Calibri"/>
          <w:sz w:val="20"/>
          <w:szCs w:val="20"/>
          <w:lang w:val="pl-PL"/>
        </w:rPr>
      </w:pP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D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ziałania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na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r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zecz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int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e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gralności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i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prz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ejr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zystości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rynku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ener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gii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elek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trycznej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ab/>
        <w:t>85</w:t>
      </w:r>
    </w:p>
    <w:p w:rsidR="005E74ED" w:rsidRPr="003034E0" w:rsidRDefault="003034E0" w:rsidP="003034E0">
      <w:pPr>
        <w:numPr>
          <w:ilvl w:val="3"/>
          <w:numId w:val="1"/>
        </w:numPr>
        <w:ind w:hanging="627"/>
        <w:rPr>
          <w:rFonts w:ascii="Calibri" w:eastAsia="Calibri" w:hAnsi="Calibri" w:cs="Calibri"/>
          <w:sz w:val="20"/>
          <w:szCs w:val="20"/>
          <w:lang w:val="pl-PL"/>
        </w:rPr>
      </w:pP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Int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ensyfikacja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procesu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zmiany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sprz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edaw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cy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ener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gii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elek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tr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ycznej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ab/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87</w:t>
      </w:r>
    </w:p>
    <w:p w:rsidR="005E74ED" w:rsidRPr="003034E0" w:rsidRDefault="003034E0" w:rsidP="003034E0">
      <w:pPr>
        <w:numPr>
          <w:ilvl w:val="3"/>
          <w:numId w:val="1"/>
        </w:numPr>
        <w:ind w:hanging="627"/>
        <w:rPr>
          <w:rFonts w:ascii="Calibri" w:eastAsia="Calibri" w:hAnsi="Calibri" w:cs="Calibri"/>
          <w:sz w:val="20"/>
          <w:szCs w:val="20"/>
          <w:lang w:val="pl-PL"/>
        </w:rPr>
      </w:pP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Wpr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owadzenie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aukcyjnego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systemu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wsparcia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energii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odnawialnej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ab/>
        <w:t>88</w:t>
      </w:r>
    </w:p>
    <w:p w:rsidR="005E74ED" w:rsidRPr="003034E0" w:rsidRDefault="003034E0" w:rsidP="003034E0">
      <w:pPr>
        <w:numPr>
          <w:ilvl w:val="2"/>
          <w:numId w:val="2"/>
        </w:numPr>
        <w:ind w:left="1020" w:hanging="519"/>
        <w:rPr>
          <w:rFonts w:ascii="Calibri" w:eastAsia="Calibri" w:hAnsi="Calibri" w:cs="Calibri"/>
          <w:sz w:val="20"/>
          <w:szCs w:val="20"/>
          <w:lang w:val="pl-PL"/>
        </w:rPr>
      </w:pP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Ochrona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odbiorców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energii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elektrycznej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ab/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89</w:t>
      </w:r>
    </w:p>
    <w:p w:rsidR="005E74ED" w:rsidRPr="003034E0" w:rsidRDefault="003034E0" w:rsidP="003034E0">
      <w:pPr>
        <w:numPr>
          <w:ilvl w:val="3"/>
          <w:numId w:val="2"/>
        </w:numPr>
        <w:ind w:hanging="627"/>
        <w:rPr>
          <w:rFonts w:ascii="Calibri" w:eastAsia="Calibri" w:hAnsi="Calibri" w:cs="Calibri"/>
          <w:sz w:val="20"/>
          <w:szCs w:val="20"/>
          <w:lang w:val="pl-PL"/>
        </w:rPr>
      </w:pP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Ochrona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odbiorców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indywidualnych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ab/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89</w:t>
      </w:r>
    </w:p>
    <w:p w:rsidR="005E74ED" w:rsidRPr="003034E0" w:rsidRDefault="003034E0" w:rsidP="003034E0">
      <w:pPr>
        <w:numPr>
          <w:ilvl w:val="3"/>
          <w:numId w:val="2"/>
        </w:numPr>
        <w:ind w:hanging="627"/>
        <w:rPr>
          <w:rFonts w:ascii="Calibri" w:eastAsia="Calibri" w:hAnsi="Calibri" w:cs="Calibri"/>
          <w:sz w:val="20"/>
          <w:szCs w:val="20"/>
          <w:lang w:val="pl-PL"/>
        </w:rPr>
      </w:pP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Ochr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ona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konk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ur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encyjności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odbiorc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ów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przemysło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wy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ch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ab/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90</w:t>
      </w:r>
    </w:p>
    <w:p w:rsidR="005E74ED" w:rsidRPr="003034E0" w:rsidRDefault="003034E0" w:rsidP="003034E0">
      <w:pPr>
        <w:numPr>
          <w:ilvl w:val="3"/>
          <w:numId w:val="2"/>
        </w:numPr>
        <w:ind w:hanging="627"/>
        <w:rPr>
          <w:rFonts w:ascii="Calibri" w:eastAsia="Calibri" w:hAnsi="Calibri" w:cs="Calibri"/>
          <w:sz w:val="20"/>
          <w:szCs w:val="20"/>
          <w:lang w:val="pl-PL"/>
        </w:rPr>
      </w:pP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Ustawa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o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cenach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energii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elektrycznej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ab/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91</w:t>
      </w:r>
    </w:p>
    <w:p w:rsidR="005E74ED" w:rsidRPr="003034E0" w:rsidRDefault="003034E0" w:rsidP="003034E0">
      <w:pPr>
        <w:numPr>
          <w:ilvl w:val="3"/>
          <w:numId w:val="2"/>
        </w:numPr>
        <w:ind w:hanging="627"/>
        <w:rPr>
          <w:rFonts w:ascii="Calibri" w:eastAsia="Calibri" w:hAnsi="Calibri" w:cs="Calibri"/>
          <w:sz w:val="20"/>
          <w:szCs w:val="20"/>
          <w:lang w:val="pl-PL"/>
        </w:rPr>
      </w:pP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D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ziałania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or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ganó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w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re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gulacyjnych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i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k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ontr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olnych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ab/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93</w:t>
      </w:r>
    </w:p>
    <w:p w:rsidR="005E74ED" w:rsidRPr="003034E0" w:rsidRDefault="003034E0" w:rsidP="003034E0">
      <w:pPr>
        <w:numPr>
          <w:ilvl w:val="2"/>
          <w:numId w:val="2"/>
        </w:numPr>
        <w:ind w:left="984" w:hanging="483"/>
        <w:rPr>
          <w:rFonts w:ascii="Calibri" w:eastAsia="Calibri" w:hAnsi="Calibri" w:cs="Calibri"/>
          <w:sz w:val="20"/>
          <w:szCs w:val="20"/>
          <w:lang w:val="pl-PL"/>
        </w:rPr>
      </w:pP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Współkształtowanie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polityki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energetycznej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UE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ab/>
        <w:t>97</w:t>
      </w:r>
    </w:p>
    <w:p w:rsidR="005E74ED" w:rsidRPr="003034E0" w:rsidRDefault="003034E0" w:rsidP="003034E0">
      <w:pPr>
        <w:numPr>
          <w:ilvl w:val="1"/>
          <w:numId w:val="2"/>
        </w:numPr>
        <w:ind w:left="499"/>
        <w:rPr>
          <w:rFonts w:ascii="Calibri" w:eastAsia="Calibri" w:hAnsi="Calibri" w:cs="Calibri"/>
          <w:sz w:val="20"/>
          <w:szCs w:val="20"/>
          <w:lang w:val="pl-PL"/>
        </w:rPr>
      </w:pP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Inicjatywy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odbiorców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energii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elektrycznej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ab/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100</w:t>
      </w:r>
    </w:p>
    <w:p w:rsidR="005E74ED" w:rsidRPr="003034E0" w:rsidRDefault="003034E0" w:rsidP="003034E0">
      <w:pPr>
        <w:numPr>
          <w:ilvl w:val="2"/>
          <w:numId w:val="2"/>
        </w:numPr>
        <w:ind w:left="984" w:hanging="483"/>
        <w:rPr>
          <w:rFonts w:ascii="Calibri" w:eastAsia="Calibri" w:hAnsi="Calibri" w:cs="Calibri"/>
          <w:sz w:val="20"/>
          <w:szCs w:val="20"/>
          <w:lang w:val="pl-PL"/>
        </w:rPr>
      </w:pP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Samodzielne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wytw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arzanie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ener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gii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elek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tr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ycznej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ab/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100</w:t>
      </w:r>
    </w:p>
    <w:p w:rsidR="005E74ED" w:rsidRPr="003034E0" w:rsidRDefault="003034E0" w:rsidP="003034E0">
      <w:pPr>
        <w:numPr>
          <w:ilvl w:val="3"/>
          <w:numId w:val="2"/>
        </w:numPr>
        <w:ind w:right="102" w:hanging="627"/>
        <w:rPr>
          <w:rFonts w:ascii="Calibri" w:eastAsia="Calibri" w:hAnsi="Calibri" w:cs="Calibri"/>
          <w:sz w:val="20"/>
          <w:szCs w:val="20"/>
          <w:lang w:val="pl-PL"/>
        </w:rPr>
      </w:pP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Samodzielne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wytw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arzanie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ener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gii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elek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tr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ycznej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prz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e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z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odbiorc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ów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przemysło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wy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ch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ab/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100</w:t>
      </w:r>
    </w:p>
    <w:p w:rsidR="005E74ED" w:rsidRPr="003034E0" w:rsidRDefault="003034E0" w:rsidP="003034E0">
      <w:pPr>
        <w:numPr>
          <w:ilvl w:val="3"/>
          <w:numId w:val="2"/>
        </w:numPr>
        <w:ind w:hanging="627"/>
        <w:rPr>
          <w:rFonts w:ascii="Calibri" w:eastAsia="Calibri" w:hAnsi="Calibri" w:cs="Calibri"/>
          <w:sz w:val="20"/>
          <w:szCs w:val="20"/>
          <w:lang w:val="pl-PL"/>
        </w:rPr>
      </w:pP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R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ozw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ój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ener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g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e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tyki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proofErr w:type="spellStart"/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prosumenckiej</w:t>
      </w:r>
      <w:proofErr w:type="spellEnd"/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i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klastr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ów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ener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gii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ab/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102</w:t>
      </w:r>
    </w:p>
    <w:p w:rsidR="005E74ED" w:rsidRPr="003034E0" w:rsidRDefault="003034E0" w:rsidP="003034E0">
      <w:pPr>
        <w:numPr>
          <w:ilvl w:val="2"/>
          <w:numId w:val="2"/>
        </w:numPr>
        <w:ind w:left="984" w:hanging="483"/>
        <w:rPr>
          <w:rFonts w:ascii="Calibri" w:eastAsia="Calibri" w:hAnsi="Calibri" w:cs="Calibri"/>
          <w:sz w:val="20"/>
          <w:szCs w:val="20"/>
          <w:lang w:val="pl-PL"/>
        </w:rPr>
      </w:pP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Zindywidualiz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ow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ane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str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at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e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gie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zakupu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ener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gii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elek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tr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ycznej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ab/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105</w:t>
      </w:r>
    </w:p>
    <w:p w:rsidR="005E74ED" w:rsidRPr="003034E0" w:rsidRDefault="003034E0" w:rsidP="003034E0">
      <w:pPr>
        <w:numPr>
          <w:ilvl w:val="3"/>
          <w:numId w:val="2"/>
        </w:numPr>
        <w:ind w:hanging="627"/>
        <w:rPr>
          <w:rFonts w:ascii="Calibri" w:eastAsia="Calibri" w:hAnsi="Calibri" w:cs="Calibri"/>
          <w:sz w:val="20"/>
          <w:szCs w:val="20"/>
          <w:lang w:val="pl-PL"/>
        </w:rPr>
      </w:pP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Strat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e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gia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grupo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we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g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o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zakupu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ener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gii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elek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tr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ycznej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ab/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105</w:t>
      </w:r>
    </w:p>
    <w:p w:rsidR="005E74ED" w:rsidRPr="003034E0" w:rsidRDefault="003034E0" w:rsidP="003034E0">
      <w:pPr>
        <w:numPr>
          <w:ilvl w:val="3"/>
          <w:numId w:val="2"/>
        </w:numPr>
        <w:ind w:hanging="627"/>
        <w:rPr>
          <w:rFonts w:ascii="Calibri" w:eastAsia="Calibri" w:hAnsi="Calibri" w:cs="Calibri"/>
          <w:sz w:val="20"/>
          <w:szCs w:val="20"/>
          <w:lang w:val="pl-PL"/>
        </w:rPr>
      </w:pP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lastRenderedPageBreak/>
        <w:t>Strat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e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gia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be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zpośr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ednie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g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o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k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ontr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ak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tow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ania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ener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gii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elek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tr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ycznej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ab/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107</w:t>
      </w:r>
    </w:p>
    <w:p w:rsidR="005E74ED" w:rsidRPr="003034E0" w:rsidRDefault="003034E0" w:rsidP="003034E0">
      <w:pPr>
        <w:numPr>
          <w:ilvl w:val="1"/>
          <w:numId w:val="2"/>
        </w:numPr>
        <w:ind w:left="499"/>
        <w:rPr>
          <w:rFonts w:ascii="Calibri" w:eastAsia="Calibri" w:hAnsi="Calibri" w:cs="Calibri"/>
          <w:sz w:val="20"/>
          <w:szCs w:val="20"/>
          <w:lang w:val="pl-PL"/>
        </w:rPr>
      </w:pP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Transformacja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sektora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elektroenergetycznego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w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Polsce</w:t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ab/>
      </w:r>
      <w:r w:rsidRPr="003034E0">
        <w:rPr>
          <w:rFonts w:ascii="Calibri" w:hAnsi="Calibri" w:cs="Calibri"/>
          <w:color w:val="161616"/>
          <w:sz w:val="20"/>
          <w:szCs w:val="20"/>
          <w:lang w:val="pl-PL"/>
        </w:rPr>
        <w:t>108</w:t>
      </w:r>
    </w:p>
    <w:p w:rsidR="003034E0" w:rsidRDefault="003034E0" w:rsidP="003034E0">
      <w:pPr>
        <w:ind w:left="104"/>
        <w:rPr>
          <w:rFonts w:ascii="Calibri" w:hAnsi="Calibri" w:cs="Calibri"/>
          <w:b/>
          <w:color w:val="161616"/>
          <w:sz w:val="20"/>
          <w:szCs w:val="20"/>
          <w:lang w:val="pl-PL"/>
        </w:rPr>
      </w:pPr>
    </w:p>
    <w:p w:rsidR="005E74ED" w:rsidRPr="003034E0" w:rsidRDefault="003034E0" w:rsidP="003034E0">
      <w:pPr>
        <w:ind w:left="104"/>
        <w:rPr>
          <w:rFonts w:ascii="Calibri" w:eastAsia="Calibri" w:hAnsi="Calibri" w:cs="Calibri"/>
          <w:sz w:val="20"/>
          <w:szCs w:val="20"/>
          <w:lang w:val="pl-PL"/>
        </w:rPr>
      </w:pP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>Podsumowanie</w:t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>i</w:t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>wnioski</w:t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ab/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>113</w:t>
      </w:r>
    </w:p>
    <w:p w:rsidR="003034E0" w:rsidRDefault="003034E0" w:rsidP="003034E0">
      <w:pPr>
        <w:ind w:left="104"/>
        <w:rPr>
          <w:rFonts w:ascii="Calibri" w:hAnsi="Calibri" w:cs="Calibri"/>
          <w:b/>
          <w:color w:val="161616"/>
          <w:sz w:val="20"/>
          <w:szCs w:val="20"/>
          <w:lang w:val="pl-PL"/>
        </w:rPr>
      </w:pPr>
    </w:p>
    <w:p w:rsidR="005E74ED" w:rsidRPr="003034E0" w:rsidRDefault="003034E0" w:rsidP="003034E0">
      <w:pPr>
        <w:ind w:left="104"/>
        <w:rPr>
          <w:rFonts w:ascii="Calibri" w:eastAsia="Calibri" w:hAnsi="Calibri" w:cs="Calibri"/>
          <w:sz w:val="20"/>
          <w:szCs w:val="20"/>
          <w:lang w:val="pl-PL"/>
        </w:rPr>
      </w:pP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>Bibliografia</w:t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ab/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>123</w:t>
      </w:r>
    </w:p>
    <w:p w:rsidR="003034E0" w:rsidRDefault="003034E0" w:rsidP="003034E0">
      <w:pPr>
        <w:ind w:left="104"/>
        <w:rPr>
          <w:rFonts w:ascii="Calibri" w:hAnsi="Calibri" w:cs="Calibri"/>
          <w:b/>
          <w:color w:val="161616"/>
          <w:sz w:val="20"/>
          <w:szCs w:val="20"/>
          <w:lang w:val="pl-PL"/>
        </w:rPr>
      </w:pPr>
    </w:p>
    <w:p w:rsidR="005E74ED" w:rsidRPr="003034E0" w:rsidRDefault="003034E0" w:rsidP="003034E0">
      <w:pPr>
        <w:ind w:left="104"/>
        <w:rPr>
          <w:rFonts w:ascii="Calibri" w:eastAsia="Calibri" w:hAnsi="Calibri" w:cs="Calibri"/>
          <w:sz w:val="20"/>
          <w:szCs w:val="20"/>
          <w:lang w:val="pl-PL"/>
        </w:rPr>
      </w:pP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>Spis</w:t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>tabel</w:t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ab/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>133</w:t>
      </w:r>
    </w:p>
    <w:p w:rsidR="003034E0" w:rsidRDefault="003034E0" w:rsidP="003034E0">
      <w:pPr>
        <w:ind w:left="104"/>
        <w:rPr>
          <w:rFonts w:ascii="Calibri" w:hAnsi="Calibri" w:cs="Calibri"/>
          <w:b/>
          <w:color w:val="161616"/>
          <w:sz w:val="20"/>
          <w:szCs w:val="20"/>
          <w:lang w:val="pl-PL"/>
        </w:rPr>
      </w:pPr>
    </w:p>
    <w:p w:rsidR="005E74ED" w:rsidRPr="003034E0" w:rsidRDefault="003034E0" w:rsidP="003034E0">
      <w:pPr>
        <w:ind w:left="104"/>
        <w:rPr>
          <w:rFonts w:ascii="Calibri" w:eastAsia="Calibri" w:hAnsi="Calibri" w:cs="Calibri"/>
          <w:sz w:val="20"/>
          <w:szCs w:val="20"/>
          <w:lang w:val="pl-PL"/>
        </w:rPr>
      </w:pP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>Spis</w:t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 xml:space="preserve"> </w:t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>rysunk</w:t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>ów</w:t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ab/>
      </w:r>
      <w:r w:rsidRPr="003034E0">
        <w:rPr>
          <w:rFonts w:ascii="Calibri" w:hAnsi="Calibri" w:cs="Calibri"/>
          <w:b/>
          <w:color w:val="161616"/>
          <w:sz w:val="20"/>
          <w:szCs w:val="20"/>
          <w:lang w:val="pl-PL"/>
        </w:rPr>
        <w:t>135</w:t>
      </w:r>
    </w:p>
    <w:sectPr w:rsidR="005E74ED" w:rsidRPr="003034E0">
      <w:pgSz w:w="9530" w:h="13660"/>
      <w:pgMar w:top="680" w:right="10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9D4"/>
    <w:multiLevelType w:val="multilevel"/>
    <w:tmpl w:val="EFAE9E7A"/>
    <w:lvl w:ilvl="0">
      <w:start w:val="3"/>
      <w:numFmt w:val="decimal"/>
      <w:lvlText w:val="%1"/>
      <w:lvlJc w:val="left"/>
      <w:pPr>
        <w:ind w:left="512" w:hanging="39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2" w:hanging="395"/>
        <w:jc w:val="left"/>
      </w:pPr>
      <w:rPr>
        <w:rFonts w:ascii="Calibri" w:eastAsia="Calibri" w:hAnsi="Calibri" w:hint="default"/>
        <w:color w:val="161616"/>
        <w:w w:val="98"/>
        <w:sz w:val="18"/>
        <w:szCs w:val="18"/>
      </w:rPr>
    </w:lvl>
    <w:lvl w:ilvl="2">
      <w:start w:val="1"/>
      <w:numFmt w:val="decimal"/>
      <w:lvlText w:val="%1.%2.%3."/>
      <w:lvlJc w:val="left"/>
      <w:pPr>
        <w:ind w:left="1033" w:hanging="520"/>
        <w:jc w:val="left"/>
      </w:pPr>
      <w:rPr>
        <w:rFonts w:ascii="Calibri" w:eastAsia="Calibri" w:hAnsi="Calibri" w:hint="default"/>
        <w:color w:val="161616"/>
        <w:w w:val="98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695" w:hanging="628"/>
        <w:jc w:val="left"/>
      </w:pPr>
      <w:rPr>
        <w:rFonts w:ascii="Calibri" w:eastAsia="Calibri" w:hAnsi="Calibri" w:hint="default"/>
        <w:color w:val="161616"/>
        <w:w w:val="98"/>
        <w:sz w:val="18"/>
        <w:szCs w:val="18"/>
      </w:rPr>
    </w:lvl>
    <w:lvl w:ilvl="4">
      <w:start w:val="1"/>
      <w:numFmt w:val="bullet"/>
      <w:lvlText w:val="•"/>
      <w:lvlJc w:val="left"/>
      <w:pPr>
        <w:ind w:left="1695" w:hanging="6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3" w:hanging="6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2" w:hanging="6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90" w:hanging="6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88" w:hanging="628"/>
      </w:pPr>
      <w:rPr>
        <w:rFonts w:hint="default"/>
      </w:rPr>
    </w:lvl>
  </w:abstractNum>
  <w:abstractNum w:abstractNumId="1">
    <w:nsid w:val="2F522A2F"/>
    <w:multiLevelType w:val="multilevel"/>
    <w:tmpl w:val="431AA658"/>
    <w:lvl w:ilvl="0">
      <w:start w:val="1"/>
      <w:numFmt w:val="decimal"/>
      <w:lvlText w:val="%1"/>
      <w:lvlJc w:val="left"/>
      <w:pPr>
        <w:ind w:left="476" w:hanging="35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6" w:hanging="359"/>
        <w:jc w:val="left"/>
      </w:pPr>
      <w:rPr>
        <w:rFonts w:ascii="Calibri" w:eastAsia="Calibri" w:hAnsi="Calibri" w:hint="default"/>
        <w:color w:val="161616"/>
        <w:w w:val="98"/>
        <w:sz w:val="18"/>
        <w:szCs w:val="18"/>
      </w:rPr>
    </w:lvl>
    <w:lvl w:ilvl="2">
      <w:start w:val="1"/>
      <w:numFmt w:val="decimal"/>
      <w:lvlText w:val="%1.%2.%3."/>
      <w:lvlJc w:val="left"/>
      <w:pPr>
        <w:ind w:left="997" w:hanging="484"/>
        <w:jc w:val="left"/>
      </w:pPr>
      <w:rPr>
        <w:rFonts w:ascii="Calibri" w:eastAsia="Calibri" w:hAnsi="Calibri" w:hint="default"/>
        <w:color w:val="161616"/>
        <w:w w:val="98"/>
        <w:sz w:val="18"/>
        <w:szCs w:val="18"/>
      </w:rPr>
    </w:lvl>
    <w:lvl w:ilvl="3">
      <w:start w:val="1"/>
      <w:numFmt w:val="bullet"/>
      <w:lvlText w:val="•"/>
      <w:lvlJc w:val="left"/>
      <w:pPr>
        <w:ind w:left="2403" w:hanging="4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06" w:hanging="4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09" w:hanging="4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13" w:hanging="4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16" w:hanging="4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19" w:hanging="484"/>
      </w:pPr>
      <w:rPr>
        <w:rFonts w:hint="default"/>
      </w:rPr>
    </w:lvl>
  </w:abstractNum>
  <w:abstractNum w:abstractNumId="2">
    <w:nsid w:val="756904D8"/>
    <w:multiLevelType w:val="multilevel"/>
    <w:tmpl w:val="2F9CD88C"/>
    <w:lvl w:ilvl="0">
      <w:start w:val="2"/>
      <w:numFmt w:val="decimal"/>
      <w:lvlText w:val="%1"/>
      <w:lvlJc w:val="left"/>
      <w:pPr>
        <w:ind w:left="512" w:hanging="39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2" w:hanging="395"/>
        <w:jc w:val="left"/>
      </w:pPr>
      <w:rPr>
        <w:rFonts w:ascii="Calibri" w:eastAsia="Calibri" w:hAnsi="Calibri" w:hint="default"/>
        <w:color w:val="161616"/>
        <w:w w:val="98"/>
        <w:sz w:val="18"/>
        <w:szCs w:val="18"/>
      </w:rPr>
    </w:lvl>
    <w:lvl w:ilvl="2">
      <w:start w:val="1"/>
      <w:numFmt w:val="bullet"/>
      <w:lvlText w:val="•"/>
      <w:lvlJc w:val="left"/>
      <w:pPr>
        <w:ind w:left="1875" w:hanging="3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56" w:hanging="3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37" w:hanging="3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18" w:hanging="3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00" w:hanging="3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81" w:hanging="3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62" w:hanging="395"/>
      </w:pPr>
      <w:rPr>
        <w:rFonts w:hint="default"/>
      </w:rPr>
    </w:lvl>
  </w:abstractNum>
  <w:abstractNum w:abstractNumId="3">
    <w:nsid w:val="7A724508"/>
    <w:multiLevelType w:val="multilevel"/>
    <w:tmpl w:val="27488094"/>
    <w:lvl w:ilvl="0">
      <w:start w:val="3"/>
      <w:numFmt w:val="decimal"/>
      <w:lvlText w:val="%1"/>
      <w:lvlJc w:val="left"/>
      <w:pPr>
        <w:ind w:left="1695" w:hanging="62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95" w:hanging="62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5" w:hanging="628"/>
        <w:jc w:val="left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95" w:hanging="628"/>
        <w:jc w:val="left"/>
      </w:pPr>
      <w:rPr>
        <w:rFonts w:ascii="Calibri" w:eastAsia="Calibri" w:hAnsi="Calibri" w:hint="default"/>
        <w:color w:val="161616"/>
        <w:w w:val="98"/>
        <w:sz w:val="18"/>
        <w:szCs w:val="18"/>
      </w:rPr>
    </w:lvl>
    <w:lvl w:ilvl="4">
      <w:start w:val="1"/>
      <w:numFmt w:val="bullet"/>
      <w:lvlText w:val="•"/>
      <w:lvlJc w:val="left"/>
      <w:pPr>
        <w:ind w:left="3565" w:hanging="6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88" w:hanging="6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12" w:hanging="6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35" w:hanging="6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58" w:hanging="628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E74ED"/>
    <w:rsid w:val="003034E0"/>
    <w:rsid w:val="005E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3"/>
      <w:ind w:left="117"/>
    </w:pPr>
    <w:rPr>
      <w:rFonts w:ascii="Calibri" w:eastAsia="Calibri" w:hAnsi="Calibri"/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313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2</cp:revision>
  <dcterms:created xsi:type="dcterms:W3CDTF">2019-11-20T08:22:00Z</dcterms:created>
  <dcterms:modified xsi:type="dcterms:W3CDTF">2019-11-20T07:32:00Z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LastSaved">
    <vt:filetime>2019-11-20T00:00:00Z</vt:filetime>
  </property>
</Properties>
</file>