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EF" w:rsidRDefault="00CB12EF" w:rsidP="00CB12EF">
      <w:pPr>
        <w:autoSpaceDE w:val="0"/>
        <w:autoSpaceDN w:val="0"/>
        <w:adjustRightInd w:val="0"/>
        <w:spacing w:after="0" w:line="240" w:lineRule="auto"/>
        <w:rPr>
          <w:rFonts w:ascii="MattAntiqueEU-Normal" w:hAnsi="MattAntiqueEU-Normal" w:cs="MattAntiqueEU-Normal"/>
          <w:sz w:val="18"/>
          <w:szCs w:val="18"/>
        </w:rPr>
      </w:pPr>
      <w:r>
        <w:rPr>
          <w:rFonts w:ascii="MattAntiqueEU-Normal" w:hAnsi="MattAntiqueEU-Normal" w:cs="MattAntiqueEU-Normal"/>
          <w:sz w:val="18"/>
          <w:szCs w:val="18"/>
        </w:rPr>
        <w:t>Wprowadzenie 7</w:t>
      </w:r>
    </w:p>
    <w:p w:rsidR="00CB12EF" w:rsidRDefault="00CB12EF" w:rsidP="00CB12EF">
      <w:pPr>
        <w:autoSpaceDE w:val="0"/>
        <w:autoSpaceDN w:val="0"/>
        <w:adjustRightInd w:val="0"/>
        <w:spacing w:after="0" w:line="240" w:lineRule="auto"/>
        <w:rPr>
          <w:rFonts w:ascii="MattAntiqueEU-Normal" w:hAnsi="MattAntiqueEU-Normal" w:cs="MattAntiqueEU-Normal"/>
          <w:sz w:val="18"/>
          <w:szCs w:val="18"/>
        </w:rPr>
      </w:pPr>
      <w:proofErr w:type="spellStart"/>
      <w:r>
        <w:rPr>
          <w:rFonts w:ascii="MattAntiqueEU-Normal" w:hAnsi="MattAntiqueEU-Normal" w:cs="MattAntiqueEU-Normal"/>
          <w:sz w:val="18"/>
          <w:szCs w:val="18"/>
        </w:rPr>
        <w:t>Kerygmatyczna</w:t>
      </w:r>
      <w:proofErr w:type="spellEnd"/>
      <w:r>
        <w:rPr>
          <w:rFonts w:ascii="MattAntiqueEU-Normal" w:hAnsi="MattAntiqueEU-Normal" w:cs="MattAntiqueEU-Normal"/>
          <w:sz w:val="18"/>
          <w:szCs w:val="18"/>
        </w:rPr>
        <w:t xml:space="preserve"> interpretacja poezji Zbigniewa Herberta –</w:t>
      </w:r>
      <w:r>
        <w:rPr>
          <w:rFonts w:ascii="MattAntiqueEU-Normal" w:hAnsi="MattAntiqueEU-Normal" w:cs="MattAntiqueEU-Normal"/>
          <w:sz w:val="18"/>
          <w:szCs w:val="18"/>
        </w:rPr>
        <w:t xml:space="preserve"> </w:t>
      </w:r>
      <w:r>
        <w:rPr>
          <w:rFonts w:ascii="MattAntiqueEU-Normal" w:hAnsi="MattAntiqueEU-Normal" w:cs="MattAntiqueEU-Normal"/>
          <w:sz w:val="18"/>
          <w:szCs w:val="18"/>
        </w:rPr>
        <w:t>dialog z Marianem Maciejewskim 13</w:t>
      </w:r>
    </w:p>
    <w:p w:rsidR="00CB12EF" w:rsidRDefault="00CB12EF" w:rsidP="00CB12EF">
      <w:pPr>
        <w:autoSpaceDE w:val="0"/>
        <w:autoSpaceDN w:val="0"/>
        <w:adjustRightInd w:val="0"/>
        <w:spacing w:after="0" w:line="240" w:lineRule="auto"/>
        <w:rPr>
          <w:rFonts w:ascii="MattAntiqueEU-Normal" w:hAnsi="MattAntiqueEU-Normal" w:cs="MattAntiqueEU-Normal"/>
          <w:sz w:val="18"/>
          <w:szCs w:val="18"/>
        </w:rPr>
      </w:pPr>
      <w:r>
        <w:rPr>
          <w:rFonts w:ascii="MattAntiqueEU-Normal" w:hAnsi="MattAntiqueEU-Normal" w:cs="MattAntiqueEU-Normal"/>
          <w:sz w:val="18"/>
          <w:szCs w:val="18"/>
        </w:rPr>
        <w:t>Poezja Tadeusza Różewicza wobec Boga religii,</w:t>
      </w:r>
      <w:r>
        <w:rPr>
          <w:rFonts w:ascii="MattAntiqueEU-Normal" w:hAnsi="MattAntiqueEU-Normal" w:cs="MattAntiqueEU-Normal"/>
          <w:sz w:val="18"/>
          <w:szCs w:val="18"/>
        </w:rPr>
        <w:t xml:space="preserve"> </w:t>
      </w:r>
      <w:r>
        <w:rPr>
          <w:rFonts w:ascii="MattAntiqueEU-Normal" w:hAnsi="MattAntiqueEU-Normal" w:cs="MattAntiqueEU-Normal"/>
          <w:sz w:val="18"/>
          <w:szCs w:val="18"/>
        </w:rPr>
        <w:t>Boga wiary i fenomenu idolatrii 27</w:t>
      </w:r>
    </w:p>
    <w:p w:rsidR="00CB12EF" w:rsidRDefault="00CB12EF" w:rsidP="00CB12EF">
      <w:pPr>
        <w:autoSpaceDE w:val="0"/>
        <w:autoSpaceDN w:val="0"/>
        <w:adjustRightInd w:val="0"/>
        <w:spacing w:after="0" w:line="240" w:lineRule="auto"/>
        <w:rPr>
          <w:rFonts w:ascii="MattAntiqueEU-Normal" w:hAnsi="MattAntiqueEU-Normal" w:cs="MattAntiqueEU-Normal"/>
          <w:sz w:val="18"/>
          <w:szCs w:val="18"/>
        </w:rPr>
      </w:pPr>
      <w:r>
        <w:rPr>
          <w:rFonts w:ascii="MattAntiqueEU-Normal" w:hAnsi="MattAntiqueEU-Normal" w:cs="MattAntiqueEU-Normal"/>
          <w:sz w:val="18"/>
          <w:szCs w:val="18"/>
        </w:rPr>
        <w:t>Biblia i „skatologia”.</w:t>
      </w:r>
      <w:r>
        <w:rPr>
          <w:rFonts w:ascii="MattAntiqueEU-Normal" w:hAnsi="MattAntiqueEU-Normal" w:cs="MattAntiqueEU-Normal"/>
          <w:sz w:val="18"/>
          <w:szCs w:val="18"/>
        </w:rPr>
        <w:t xml:space="preserve"> </w:t>
      </w:r>
      <w:r>
        <w:rPr>
          <w:rFonts w:ascii="MattAntiqueEU-Normal" w:hAnsi="MattAntiqueEU-Normal" w:cs="MattAntiqueEU-Normal"/>
          <w:sz w:val="18"/>
          <w:szCs w:val="18"/>
        </w:rPr>
        <w:t xml:space="preserve">Wokół wiersza Tadeusza Różewicza </w:t>
      </w:r>
      <w:r>
        <w:rPr>
          <w:rFonts w:ascii="MattAntiqueEU-Italic" w:hAnsi="MattAntiqueEU-Italic" w:cs="MattAntiqueEU-Italic"/>
          <w:i/>
          <w:iCs/>
          <w:sz w:val="18"/>
          <w:szCs w:val="18"/>
        </w:rPr>
        <w:t xml:space="preserve">Widziałem Go </w:t>
      </w:r>
      <w:r>
        <w:rPr>
          <w:rFonts w:ascii="MattAntiqueEU-Normal" w:hAnsi="MattAntiqueEU-Normal" w:cs="MattAntiqueEU-Normal"/>
          <w:sz w:val="18"/>
          <w:szCs w:val="18"/>
        </w:rPr>
        <w:t>43</w:t>
      </w:r>
    </w:p>
    <w:p w:rsidR="00CB12EF" w:rsidRDefault="00CB12EF" w:rsidP="00CB12EF">
      <w:pPr>
        <w:autoSpaceDE w:val="0"/>
        <w:autoSpaceDN w:val="0"/>
        <w:adjustRightInd w:val="0"/>
        <w:spacing w:after="0" w:line="240" w:lineRule="auto"/>
        <w:rPr>
          <w:rFonts w:ascii="MattAntiqueEU-Normal" w:hAnsi="MattAntiqueEU-Normal" w:cs="MattAntiqueEU-Normal"/>
          <w:sz w:val="18"/>
          <w:szCs w:val="18"/>
        </w:rPr>
      </w:pPr>
      <w:r>
        <w:rPr>
          <w:rFonts w:ascii="MattAntiqueEU-Normal" w:hAnsi="MattAntiqueEU-Normal" w:cs="MattAntiqueEU-Normal"/>
          <w:sz w:val="18"/>
          <w:szCs w:val="18"/>
        </w:rPr>
        <w:t>„Odechciewa się pychy umierania”.</w:t>
      </w:r>
      <w:r>
        <w:rPr>
          <w:rFonts w:ascii="MattAntiqueEU-Normal" w:hAnsi="MattAntiqueEU-Normal" w:cs="MattAntiqueEU-Normal"/>
          <w:sz w:val="18"/>
          <w:szCs w:val="18"/>
        </w:rPr>
        <w:t xml:space="preserve"> </w:t>
      </w:r>
      <w:r>
        <w:rPr>
          <w:rFonts w:ascii="MattAntiqueEU-Normal" w:hAnsi="MattAntiqueEU-Normal" w:cs="MattAntiqueEU-Normal"/>
          <w:sz w:val="18"/>
          <w:szCs w:val="18"/>
        </w:rPr>
        <w:t>Jeszcze o rozmowach Mistrza Mirona ze śmiercią 60</w:t>
      </w:r>
    </w:p>
    <w:p w:rsidR="00CB12EF" w:rsidRDefault="00CB12EF" w:rsidP="00CB12EF">
      <w:pPr>
        <w:autoSpaceDE w:val="0"/>
        <w:autoSpaceDN w:val="0"/>
        <w:adjustRightInd w:val="0"/>
        <w:spacing w:after="0" w:line="240" w:lineRule="auto"/>
        <w:rPr>
          <w:rFonts w:ascii="MattAntiqueEU-Normal" w:hAnsi="MattAntiqueEU-Normal" w:cs="MattAntiqueEU-Normal"/>
          <w:sz w:val="18"/>
          <w:szCs w:val="18"/>
        </w:rPr>
      </w:pPr>
      <w:r>
        <w:rPr>
          <w:rFonts w:ascii="MattAntiqueEU-Normal" w:hAnsi="MattAntiqueEU-Normal" w:cs="MattAntiqueEU-Normal"/>
          <w:sz w:val="18"/>
          <w:szCs w:val="18"/>
        </w:rPr>
        <w:t>Ofiarowanie Izaaka oczami dziecka?</w:t>
      </w:r>
      <w:r>
        <w:rPr>
          <w:rFonts w:ascii="MattAntiqueEU-Normal" w:hAnsi="MattAntiqueEU-Normal" w:cs="MattAntiqueEU-Normal"/>
          <w:sz w:val="18"/>
          <w:szCs w:val="18"/>
        </w:rPr>
        <w:t xml:space="preserve"> </w:t>
      </w:r>
      <w:r>
        <w:rPr>
          <w:rFonts w:ascii="MattAntiqueEU-Normal" w:hAnsi="MattAntiqueEU-Normal" w:cs="MattAntiqueEU-Normal"/>
          <w:sz w:val="18"/>
          <w:szCs w:val="18"/>
        </w:rPr>
        <w:t xml:space="preserve">O wierszu Wisławy Szymborskiej </w:t>
      </w:r>
      <w:r>
        <w:rPr>
          <w:rFonts w:ascii="MattAntiqueEU-Italic" w:hAnsi="MattAntiqueEU-Italic" w:cs="MattAntiqueEU-Italic"/>
          <w:i/>
          <w:iCs/>
          <w:sz w:val="18"/>
          <w:szCs w:val="18"/>
        </w:rPr>
        <w:t xml:space="preserve">Noc </w:t>
      </w:r>
      <w:r>
        <w:rPr>
          <w:rFonts w:ascii="MattAntiqueEU-Normal" w:hAnsi="MattAntiqueEU-Normal" w:cs="MattAntiqueEU-Normal"/>
          <w:sz w:val="18"/>
          <w:szCs w:val="18"/>
        </w:rPr>
        <w:t>77</w:t>
      </w:r>
    </w:p>
    <w:p w:rsidR="00CB12EF" w:rsidRDefault="00CB12EF" w:rsidP="00CB12EF">
      <w:pPr>
        <w:autoSpaceDE w:val="0"/>
        <w:autoSpaceDN w:val="0"/>
        <w:adjustRightInd w:val="0"/>
        <w:spacing w:after="0" w:line="240" w:lineRule="auto"/>
        <w:rPr>
          <w:rFonts w:ascii="MattAntiqueEU-Normal" w:hAnsi="MattAntiqueEU-Normal" w:cs="MattAntiqueEU-Normal"/>
          <w:sz w:val="18"/>
          <w:szCs w:val="18"/>
        </w:rPr>
      </w:pPr>
      <w:r>
        <w:rPr>
          <w:rFonts w:ascii="MattAntiqueEU-Normal" w:hAnsi="MattAntiqueEU-Normal" w:cs="MattAntiqueEU-Normal"/>
          <w:sz w:val="18"/>
          <w:szCs w:val="18"/>
        </w:rPr>
        <w:t>Po rachunku sumienia.</w:t>
      </w:r>
      <w:r>
        <w:rPr>
          <w:rFonts w:ascii="MattAntiqueEU-Normal" w:hAnsi="MattAntiqueEU-Normal" w:cs="MattAntiqueEU-Normal"/>
          <w:sz w:val="18"/>
          <w:szCs w:val="18"/>
        </w:rPr>
        <w:t xml:space="preserve"> </w:t>
      </w:r>
      <w:r>
        <w:rPr>
          <w:rFonts w:ascii="MattAntiqueEU-Normal" w:hAnsi="MattAntiqueEU-Normal" w:cs="MattAntiqueEU-Normal"/>
          <w:sz w:val="18"/>
          <w:szCs w:val="18"/>
        </w:rPr>
        <w:t xml:space="preserve">O wierszu Czesława Miłosza </w:t>
      </w:r>
      <w:r>
        <w:rPr>
          <w:rFonts w:ascii="MattAntiqueEU-Italic" w:hAnsi="MattAntiqueEU-Italic" w:cs="MattAntiqueEU-Italic"/>
          <w:i/>
          <w:iCs/>
          <w:sz w:val="18"/>
          <w:szCs w:val="18"/>
        </w:rPr>
        <w:t xml:space="preserve">Jak mogłem </w:t>
      </w:r>
      <w:r>
        <w:rPr>
          <w:rFonts w:ascii="MattAntiqueEU-Normal" w:hAnsi="MattAntiqueEU-Normal" w:cs="MattAntiqueEU-Normal"/>
          <w:sz w:val="18"/>
          <w:szCs w:val="18"/>
        </w:rPr>
        <w:t>92</w:t>
      </w:r>
    </w:p>
    <w:p w:rsidR="00CB12EF" w:rsidRDefault="00CB12EF" w:rsidP="00CB12EF">
      <w:pPr>
        <w:autoSpaceDE w:val="0"/>
        <w:autoSpaceDN w:val="0"/>
        <w:adjustRightInd w:val="0"/>
        <w:spacing w:after="0" w:line="240" w:lineRule="auto"/>
        <w:rPr>
          <w:rFonts w:ascii="MattAntiqueEU-Normal" w:hAnsi="MattAntiqueEU-Normal" w:cs="MattAntiqueEU-Normal"/>
          <w:sz w:val="18"/>
          <w:szCs w:val="18"/>
        </w:rPr>
      </w:pPr>
      <w:proofErr w:type="spellStart"/>
      <w:r>
        <w:rPr>
          <w:rFonts w:ascii="MattAntiqueEU-Normal" w:hAnsi="MattAntiqueEU-Normal" w:cs="MattAntiqueEU-Normal"/>
          <w:sz w:val="18"/>
          <w:szCs w:val="18"/>
        </w:rPr>
        <w:t>Kenoza</w:t>
      </w:r>
      <w:proofErr w:type="spellEnd"/>
      <w:r>
        <w:rPr>
          <w:rFonts w:ascii="MattAntiqueEU-Normal" w:hAnsi="MattAntiqueEU-Normal" w:cs="MattAntiqueEU-Normal"/>
          <w:sz w:val="18"/>
          <w:szCs w:val="18"/>
        </w:rPr>
        <w:t xml:space="preserve"> bez nawrócenia. O bohaterze powieści</w:t>
      </w:r>
      <w:r>
        <w:rPr>
          <w:rFonts w:ascii="MattAntiqueEU-Normal" w:hAnsi="MattAntiqueEU-Normal" w:cs="MattAntiqueEU-Normal"/>
          <w:sz w:val="18"/>
          <w:szCs w:val="18"/>
        </w:rPr>
        <w:t xml:space="preserve"> </w:t>
      </w:r>
      <w:r>
        <w:rPr>
          <w:rFonts w:ascii="MattAntiqueEU-Normal" w:hAnsi="MattAntiqueEU-Normal" w:cs="MattAntiqueEU-Normal"/>
          <w:sz w:val="18"/>
          <w:szCs w:val="18"/>
        </w:rPr>
        <w:t xml:space="preserve">Tadeusza Nowaka </w:t>
      </w:r>
      <w:r>
        <w:rPr>
          <w:rFonts w:ascii="MattAntiqueEU-Italic" w:hAnsi="MattAntiqueEU-Italic" w:cs="MattAntiqueEU-Italic"/>
          <w:i/>
          <w:iCs/>
          <w:sz w:val="18"/>
          <w:szCs w:val="18"/>
        </w:rPr>
        <w:t xml:space="preserve">A jak królem, a jak katem będziesz </w:t>
      </w:r>
      <w:r>
        <w:rPr>
          <w:rFonts w:ascii="MattAntiqueEU-Normal" w:hAnsi="MattAntiqueEU-Normal" w:cs="MattAntiqueEU-Normal"/>
          <w:sz w:val="18"/>
          <w:szCs w:val="18"/>
        </w:rPr>
        <w:t>109</w:t>
      </w:r>
    </w:p>
    <w:p w:rsidR="00CB12EF" w:rsidRDefault="00CB12EF" w:rsidP="00CB12EF">
      <w:pPr>
        <w:autoSpaceDE w:val="0"/>
        <w:autoSpaceDN w:val="0"/>
        <w:adjustRightInd w:val="0"/>
        <w:spacing w:after="0" w:line="240" w:lineRule="auto"/>
        <w:rPr>
          <w:rFonts w:ascii="MattAntiqueEU-Normal" w:hAnsi="MattAntiqueEU-Normal" w:cs="MattAntiqueEU-Normal"/>
          <w:sz w:val="18"/>
          <w:szCs w:val="18"/>
        </w:rPr>
      </w:pPr>
      <w:r>
        <w:rPr>
          <w:rFonts w:ascii="MattAntiqueEU-Normal" w:hAnsi="MattAntiqueEU-Normal" w:cs="MattAntiqueEU-Normal"/>
          <w:sz w:val="18"/>
          <w:szCs w:val="18"/>
        </w:rPr>
        <w:t>Glosy do portretu Szymona Pietruszki</w:t>
      </w:r>
      <w:r>
        <w:rPr>
          <w:rFonts w:ascii="MattAntiqueEU-Normal" w:hAnsi="MattAntiqueEU-Normal" w:cs="MattAntiqueEU-Normal"/>
          <w:sz w:val="18"/>
          <w:szCs w:val="18"/>
        </w:rPr>
        <w:t xml:space="preserve"> </w:t>
      </w:r>
      <w:bookmarkStart w:id="0" w:name="_GoBack"/>
      <w:bookmarkEnd w:id="0"/>
      <w:r>
        <w:rPr>
          <w:rFonts w:ascii="MattAntiqueEU-Normal" w:hAnsi="MattAntiqueEU-Normal" w:cs="MattAntiqueEU-Normal"/>
          <w:sz w:val="18"/>
          <w:szCs w:val="18"/>
        </w:rPr>
        <w:t>(ze Świętym Piotrem w tle) 122</w:t>
      </w:r>
    </w:p>
    <w:p w:rsidR="00CB12EF" w:rsidRDefault="00CB12EF" w:rsidP="00CB12EF">
      <w:pPr>
        <w:autoSpaceDE w:val="0"/>
        <w:autoSpaceDN w:val="0"/>
        <w:adjustRightInd w:val="0"/>
        <w:spacing w:after="0" w:line="240" w:lineRule="auto"/>
        <w:rPr>
          <w:rFonts w:ascii="MattAntiqueEU-Normal" w:hAnsi="MattAntiqueEU-Normal" w:cs="MattAntiqueEU-Normal"/>
          <w:sz w:val="18"/>
          <w:szCs w:val="18"/>
        </w:rPr>
      </w:pPr>
      <w:r>
        <w:rPr>
          <w:rFonts w:ascii="MattAntiqueEU-Normal" w:hAnsi="MattAntiqueEU-Normal" w:cs="MattAntiqueEU-Normal"/>
          <w:sz w:val="18"/>
          <w:szCs w:val="18"/>
        </w:rPr>
        <w:t>Nota bibliograficzna 137</w:t>
      </w:r>
    </w:p>
    <w:p w:rsidR="008C014F" w:rsidRDefault="00CB12EF" w:rsidP="00CB12EF">
      <w:r>
        <w:rPr>
          <w:rFonts w:ascii="MattAntiqueEU-Normal" w:hAnsi="MattAntiqueEU-Normal" w:cs="MattAntiqueEU-Normal"/>
          <w:sz w:val="18"/>
          <w:szCs w:val="18"/>
        </w:rPr>
        <w:t>Indeks nazwisk i utworów 138</w:t>
      </w:r>
    </w:p>
    <w:sectPr w:rsidR="008C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tAntique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ttAntiqueEU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EF"/>
    <w:rsid w:val="008C014F"/>
    <w:rsid w:val="00C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9D3B"/>
  <w15:chartTrackingRefBased/>
  <w15:docId w15:val="{AAF694BB-1481-4420-B509-A1D9A33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redakcja</cp:lastModifiedBy>
  <cp:revision>1</cp:revision>
  <dcterms:created xsi:type="dcterms:W3CDTF">2018-06-13T09:21:00Z</dcterms:created>
  <dcterms:modified xsi:type="dcterms:W3CDTF">2018-06-13T09:21:00Z</dcterms:modified>
</cp:coreProperties>
</file>