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 xml:space="preserve">Wstęp </w:t>
      </w:r>
      <w:r>
        <w:rPr>
          <w:rFonts w:ascii="Gothic720EU-Bold" w:hAnsi="Gothic720EU-Bold" w:cs="Gothic720EU-Bold"/>
          <w:b/>
          <w:bCs/>
          <w:sz w:val="18"/>
          <w:szCs w:val="18"/>
        </w:rPr>
        <w:t>9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I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>Pomoc rodzinie dziecka z niepełnosprawnością intelektualną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w stopniu głębokim </w:t>
      </w:r>
      <w:r>
        <w:rPr>
          <w:rFonts w:ascii="Gothic720EU-Bold" w:hAnsi="Gothic720EU-Bold" w:cs="Gothic720EU-Bold"/>
          <w:b/>
          <w:bCs/>
          <w:sz w:val="18"/>
          <w:szCs w:val="18"/>
        </w:rPr>
        <w:t>11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II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>Wczesne wspomaganie rodziny</w:t>
      </w:r>
      <w:r>
        <w:rPr>
          <w:rFonts w:ascii="Georgia" w:hAnsi="Georgia" w:cs="Georgia"/>
          <w:sz w:val="2"/>
          <w:szCs w:val="2"/>
        </w:rPr>
        <w:t xml:space="preserve">… </w:t>
      </w:r>
      <w:r>
        <w:rPr>
          <w:rFonts w:ascii="Georgia" w:hAnsi="Georgia" w:cs="Georgia"/>
          <w:sz w:val="20"/>
          <w:szCs w:val="20"/>
        </w:rPr>
        <w:t>z dzieckiem głęboko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niepełnosprawnym intelektualnie </w:t>
      </w:r>
      <w:r>
        <w:rPr>
          <w:rFonts w:ascii="Gothic720EU-Bold" w:hAnsi="Gothic720EU-Bold" w:cs="Gothic720EU-Bold"/>
          <w:b/>
          <w:bCs/>
          <w:sz w:val="18"/>
          <w:szCs w:val="18"/>
        </w:rPr>
        <w:t>23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III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>Poradnictwo genetyczne jako forma wsparcia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rodzin ryzyka genetycznego </w:t>
      </w:r>
      <w:r>
        <w:rPr>
          <w:rFonts w:ascii="Gothic720EU-Bold" w:hAnsi="Gothic720EU-Bold" w:cs="Gothic720EU-Bold"/>
          <w:b/>
          <w:bCs/>
          <w:sz w:val="18"/>
          <w:szCs w:val="18"/>
        </w:rPr>
        <w:t>30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IV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>Rozwój sensomotoryczny dziecka według Piageta –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analiza dla potrzeb diagnozy funkcjonalnej </w:t>
      </w:r>
      <w:r>
        <w:rPr>
          <w:rFonts w:ascii="Gothic720EU-Bold" w:hAnsi="Gothic720EU-Bold" w:cs="Gothic720EU-Bold"/>
          <w:b/>
          <w:bCs/>
          <w:sz w:val="18"/>
          <w:szCs w:val="18"/>
        </w:rPr>
        <w:t>37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V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>Diagnoza funkcjonalna jako podstawa oddziaływań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edukacyjno-terapeutycznych </w:t>
      </w:r>
      <w:r>
        <w:rPr>
          <w:rFonts w:ascii="Gothic720EU-Bold" w:hAnsi="Gothic720EU-Bold" w:cs="Gothic720EU-Bold"/>
          <w:b/>
          <w:bCs/>
          <w:sz w:val="18"/>
          <w:szCs w:val="18"/>
        </w:rPr>
        <w:t>50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VI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>Możliwości i ograniczenia osób z niepełnosprawnością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intelektualną</w:t>
      </w:r>
      <w:r>
        <w:rPr>
          <w:rFonts w:ascii="Georgia" w:hAnsi="Georgia" w:cs="Georgia"/>
          <w:sz w:val="2"/>
          <w:szCs w:val="2"/>
        </w:rPr>
        <w:t xml:space="preserve">… </w:t>
      </w:r>
      <w:r>
        <w:rPr>
          <w:rFonts w:ascii="Georgia" w:hAnsi="Georgia" w:cs="Georgia"/>
          <w:sz w:val="20"/>
          <w:szCs w:val="20"/>
        </w:rPr>
        <w:t xml:space="preserve">w stopniu głębokim </w:t>
      </w:r>
      <w:r>
        <w:rPr>
          <w:rFonts w:ascii="Gothic720EU-Bold" w:hAnsi="Gothic720EU-Bold" w:cs="Gothic720EU-Bold"/>
          <w:b/>
          <w:bCs/>
          <w:sz w:val="18"/>
          <w:szCs w:val="18"/>
        </w:rPr>
        <w:t>56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VII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>Znaczenie zabawy w terapii dziecka z głęboką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niepełnosprawnością intelektualną </w:t>
      </w:r>
      <w:r>
        <w:rPr>
          <w:rFonts w:ascii="Gothic720EU-Bold" w:hAnsi="Gothic720EU-Bold" w:cs="Gothic720EU-Bold"/>
          <w:b/>
          <w:bCs/>
          <w:sz w:val="18"/>
          <w:szCs w:val="18"/>
        </w:rPr>
        <w:t>77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VIII</w:t>
      </w:r>
    </w:p>
    <w:p w:rsidR="009D4463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>Metody terapeutyczne wspomagające rozwój osób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z głęboką niepełnosprawnością intelektualną </w:t>
      </w:r>
      <w:r>
        <w:rPr>
          <w:rFonts w:ascii="Gothic720EU-Bold" w:hAnsi="Gothic720EU-Bold" w:cs="Gothic720EU-Bold"/>
          <w:b/>
          <w:bCs/>
          <w:sz w:val="18"/>
          <w:szCs w:val="18"/>
        </w:rPr>
        <w:t>82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IX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>Stymulacja sensomotoryczna jako forma zajęć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rewalidacyjno-wychowawczych </w:t>
      </w:r>
      <w:r>
        <w:rPr>
          <w:rFonts w:ascii="Gothic720EU-Bold" w:hAnsi="Gothic720EU-Bold" w:cs="Gothic720EU-Bold"/>
          <w:b/>
          <w:bCs/>
          <w:sz w:val="18"/>
          <w:szCs w:val="18"/>
        </w:rPr>
        <w:t>123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X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>Konstruowanie Indywidualnych Programów pracy dla dzieci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i młodzieży z głęboką niepełnosprawnością intelektualną </w:t>
      </w:r>
      <w:r>
        <w:rPr>
          <w:rFonts w:ascii="Gothic720EU-Bold" w:hAnsi="Gothic720EU-Bold" w:cs="Gothic720EU-Bold"/>
          <w:b/>
          <w:bCs/>
          <w:sz w:val="18"/>
          <w:szCs w:val="18"/>
        </w:rPr>
        <w:t>172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XI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othic720EU-Bold" w:hAnsi="Gothic720EU-Bold" w:cs="Gothic720EU-Bold"/>
          <w:b/>
          <w:bCs/>
          <w:sz w:val="18"/>
          <w:szCs w:val="18"/>
        </w:rPr>
      </w:pPr>
      <w:r>
        <w:rPr>
          <w:rFonts w:ascii="Georgia" w:hAnsi="Georgia" w:cs="Georgia"/>
          <w:sz w:val="20"/>
          <w:szCs w:val="20"/>
        </w:rPr>
        <w:t>Płaszczyzny komunikowania się dzieci i młodzieży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z głęboką niepełnosprawnością intelektualną </w:t>
      </w:r>
      <w:r>
        <w:rPr>
          <w:rFonts w:ascii="Gothic720EU-Bold" w:hAnsi="Gothic720EU-Bold" w:cs="Gothic720EU-Bold"/>
          <w:b/>
          <w:bCs/>
          <w:sz w:val="18"/>
          <w:szCs w:val="18"/>
        </w:rPr>
        <w:t>185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Rozdział XII</w:t>
      </w:r>
    </w:p>
    <w:p w:rsidR="00C34B77" w:rsidRDefault="00C34B77" w:rsidP="00C34B77">
      <w:pPr>
        <w:autoSpaceDE w:val="0"/>
        <w:autoSpaceDN w:val="0"/>
        <w:adjustRightInd w:val="0"/>
        <w:spacing w:after="0" w:line="240" w:lineRule="auto"/>
      </w:pPr>
      <w:r>
        <w:rPr>
          <w:rFonts w:ascii="Georgia" w:hAnsi="Georgia" w:cs="Georgia"/>
          <w:sz w:val="20"/>
          <w:szCs w:val="20"/>
        </w:rPr>
        <w:t>Wsparcie osób dorosłych z głęboką niepełnosprawnością</w:t>
      </w:r>
      <w:r>
        <w:rPr>
          <w:rFonts w:ascii="Georgia" w:hAnsi="Georgia" w:cs="Georgia"/>
          <w:sz w:val="20"/>
          <w:szCs w:val="20"/>
        </w:rPr>
        <w:t xml:space="preserve"> </w:t>
      </w:r>
      <w:bookmarkStart w:id="0" w:name="_GoBack"/>
      <w:bookmarkEnd w:id="0"/>
      <w:r>
        <w:rPr>
          <w:rFonts w:ascii="Georgia" w:hAnsi="Georgia" w:cs="Georgia"/>
          <w:sz w:val="20"/>
          <w:szCs w:val="20"/>
        </w:rPr>
        <w:t xml:space="preserve">intelektualną </w:t>
      </w:r>
      <w:r>
        <w:rPr>
          <w:rFonts w:ascii="Gothic720EU-Bold" w:hAnsi="Gothic720EU-Bold" w:cs="Gothic720EU-Bold"/>
          <w:b/>
          <w:bCs/>
          <w:sz w:val="18"/>
          <w:szCs w:val="18"/>
        </w:rPr>
        <w:t>216</w:t>
      </w:r>
    </w:p>
    <w:sectPr w:rsidR="00C3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ic720E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77"/>
    <w:rsid w:val="009D4463"/>
    <w:rsid w:val="00C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A2CC"/>
  <w15:chartTrackingRefBased/>
  <w15:docId w15:val="{D95B5B58-AA8A-4474-B4CF-0069E336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redakcja</cp:lastModifiedBy>
  <cp:revision>1</cp:revision>
  <dcterms:created xsi:type="dcterms:W3CDTF">2018-06-11T12:53:00Z</dcterms:created>
  <dcterms:modified xsi:type="dcterms:W3CDTF">2018-06-11T12:54:00Z</dcterms:modified>
</cp:coreProperties>
</file>